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Medical</w:t>
      </w:r>
      <w:r>
        <w:t xml:space="preserve"> </w:t>
      </w:r>
      <w:r>
        <w:t xml:space="preserve">Researcher</w:t>
      </w:r>
      <w:r>
        <w:t xml:space="preserve"> </w:t>
      </w:r>
      <w:r>
        <w:t xml:space="preserve">Sales</w:t>
      </w:r>
      <w:r>
        <w:t xml:space="preserve"> </w:t>
      </w:r>
      <w:r>
        <w:t xml:space="preserve">Report</w:t>
      </w:r>
    </w:p>
    <w:bookmarkStart w:id="28" w:name="Xd42733351ccd236f0287be42d0eef0c6cff849d"/>
    <w:p>
      <w:pPr>
        <w:pStyle w:val="Heading1"/>
      </w:pPr>
      <w:r>
        <w:t xml:space="preserve">Qatar Doha Medical Researcher Sales Performance Report</w:t>
      </w:r>
    </w:p>
    <w:p>
      <w:pPr>
        <w:pStyle w:val="FirstParagraph"/>
      </w:pPr>
      <w:r>
        <w:rPr>
          <w:bCs/>
          <w:b/>
        </w:rPr>
        <w:t xml:space="preserve">Prepared For:</w:t>
      </w:r>
      <w:r>
        <w:t xml:space="preserve"> </w:t>
      </w:r>
      <w:r>
        <w:t xml:space="preserve">Qatar National Research Fund &amp; Healthcare Innovation Board, Doha</w:t>
      </w:r>
    </w:p>
    <w:p>
      <w:pPr>
        <w:pStyle w:val="BodyText"/>
      </w:pPr>
      <w:r>
        <w:rPr>
          <w:bCs/>
          <w:b/>
        </w:rPr>
        <w:t xml:space="preserve">Date:</w:t>
      </w:r>
      <w:r>
        <w:t xml:space="preserve"> </w:t>
      </w:r>
      <w:r>
        <w:t xml:space="preserve">October 26, 2023</w:t>
      </w:r>
    </w:p>
    <w:p>
      <w:pPr>
        <w:pStyle w:val="BodyText"/>
      </w:pPr>
      <w:r>
        <w:rPr>
          <w:bCs/>
          <w:b/>
        </w:rPr>
        <w:t xml:space="preserve">Period Covered:</w:t>
      </w:r>
      <w:r>
        <w:t xml:space="preserve"> </w:t>
      </w:r>
      <w:r>
        <w:t xml:space="preserve">Q1 2023 - Q3 2023</w:t>
      </w:r>
    </w:p>
    <w:p>
      <w:pPr>
        <w:pStyle w:val="BodyText"/>
      </w:pPr>
      <w:r>
        <w:rPr>
          <w:bCs/>
          <w:b/>
        </w:rPr>
        <w:t xml:space="preserve">Report Type:</w:t>
      </w:r>
      <w:r>
        <w:t xml:space="preserve"> </w:t>
      </w:r>
      <w:r>
        <w:t xml:space="preserve">Sales Performance Analysis for Medical Researcher Role in Qatar Doha Market</w:t>
      </w:r>
    </w:p>
    <w:bookmarkStart w:id="20" w:name="executive-summary"/>
    <w:p>
      <w:pPr>
        <w:pStyle w:val="Heading2"/>
      </w:pPr>
      <w:r>
        <w:t xml:space="preserve">Executive Summary</w:t>
      </w:r>
    </w:p>
    <w:p>
      <w:pPr>
        <w:pStyle w:val="FirstParagraph"/>
      </w:pPr>
      <w:r>
        <w:t xml:space="preserve">This comprehensive Sales Report details the revenue-generating impact of the Medical Researcher position within Qatar's healthcare innovation ecosystem, specifically focusing on Doha's strategic medical research landscape. Over the past nine months, our Medical Researcher team has directly contributed to a 37% year-over-year increase in contract value from international pharmaceutical partners, establishing new benchmarks for research-driven revenue generation in Qatar Doha. This document validates how targeted medical research initiatives now serve as critical sales engines for Qatar's healthcare sector, aligning with National Vision 2030 and the "Qatar National Research Strategy."</w:t>
      </w:r>
    </w:p>
    <w:bookmarkEnd w:id="20"/>
    <w:bookmarkStart w:id="21" w:name="X054666463430ddba18772c2e7f8f5b019108417"/>
    <w:p>
      <w:pPr>
        <w:pStyle w:val="Heading2"/>
      </w:pPr>
      <w:r>
        <w:t xml:space="preserve">Market Context: Qatar Doha's Medical Research Landscape</w:t>
      </w:r>
    </w:p>
    <w:p>
      <w:pPr>
        <w:pStyle w:val="FirstParagraph"/>
      </w:pPr>
      <w:r>
        <w:t xml:space="preserve">Doha has emerged as a pivotal hub for medical research in the Middle East, driven by substantial government investment through entities like Hamad Medical Corporation (HMC) and Sidra Medicine. The city's strategic location, world-class facilities (including the Qatar Biomedical Research Institute), and favorable regulatory environment have attracted over 42 global pharma companies seeking clinical trial partnerships. In this context, the Medical Researcher role transcends traditional research functions to become a direct revenue catalyst – driving sales through high-value clinical studies that generate $18.7M in contracted services during Q3 2023 alone.</w:t>
      </w:r>
    </w:p>
    <w:p>
      <w:pPr>
        <w:pStyle w:val="BodyText"/>
      </w:pPr>
      <w:r>
        <w:t xml:space="preserve">Notably, Qatar Doha's unique population demographics (with diverse ethnicities and distinct genetic profiles) provide unparalleled opportunities for specialized research that directly appeals to international markets. This advantage positions our Medical Researchers as sales ambassadors who translate scientific capability into commercial value, a critical differentiator in the global medical research market.</w:t>
      </w:r>
    </w:p>
    <w:bookmarkEnd w:id="21"/>
    <w:bookmarkStart w:id="22" w:name="Xc8c42dcc6dd41c50f64d17ab7e053bb33352b0c"/>
    <w:p>
      <w:pPr>
        <w:pStyle w:val="Heading2"/>
      </w:pPr>
      <w:r>
        <w:t xml:space="preserve">Sales Performance Metrics: Medical Researcher Impact</w:t>
      </w:r>
    </w:p>
    <w:p>
      <w:pPr>
        <w:pStyle w:val="FirstParagraph"/>
      </w:pPr>
      <w:r>
        <w:t xml:space="preserve">Our analysis reveals three key revenue streams directly influenced by the Medical Researcher role:</w:t>
      </w:r>
    </w:p>
    <w:p>
      <w:pPr>
        <w:numPr>
          <w:ilvl w:val="0"/>
          <w:numId w:val="1001"/>
        </w:numPr>
        <w:pStyle w:val="Compact"/>
      </w:pPr>
      <w:r>
        <w:rPr>
          <w:bCs/>
          <w:b/>
        </w:rPr>
        <w:t xml:space="preserve">Pharmaceutical Clinical Trials:</w:t>
      </w:r>
      <w:r>
        <w:t xml:space="preserve"> </w:t>
      </w:r>
      <w:r>
        <w:t xml:space="preserve">68% of total research contracts ($12.4M) secured through Medical Researcher-led negotiations with global pharma firms (e.g., Pfizer, Novartis, and local Qatari partners like Qatar Biotech).</w:t>
      </w:r>
    </w:p>
    <w:p>
      <w:pPr>
        <w:numPr>
          <w:ilvl w:val="0"/>
          <w:numId w:val="1001"/>
        </w:numPr>
        <w:pStyle w:val="Compact"/>
      </w:pPr>
      <w:r>
        <w:rPr>
          <w:bCs/>
          <w:b/>
        </w:rPr>
        <w:t xml:space="preserve">Grant Acquisition:</w:t>
      </w:r>
      <w:r>
        <w:t xml:space="preserve"> </w:t>
      </w:r>
      <w:r>
        <w:t xml:space="preserve">32% of revenue ($5.8M) from competitive national and international research grants (including WHO collaborations), where Medical Researchers authored 100% of successful proposals.</w:t>
      </w:r>
    </w:p>
    <w:p>
      <w:pPr>
        <w:numPr>
          <w:ilvl w:val="0"/>
          <w:numId w:val="1001"/>
        </w:numPr>
        <w:pStyle w:val="Compact"/>
      </w:pPr>
      <w:r>
        <w:rPr>
          <w:bCs/>
          <w:b/>
        </w:rPr>
        <w:t xml:space="preserve">Technology Licensing:</w:t>
      </w:r>
      <w:r>
        <w:t xml:space="preserve"> </w:t>
      </w:r>
      <w:r>
        <w:t xml:space="preserve">$1.9M generated from patent licensing agreements for novel diagnostics developed through Doha-based research projects, directly managed by Medical Researchers.</w:t>
      </w:r>
    </w:p>
    <w:p>
      <w:pPr>
        <w:pStyle w:val="FirstParagraph"/>
      </w:pPr>
      <w:r>
        <w:t xml:space="preserve">Crucially, the average deal size has increased by 28% compared to 2022, demonstrating how Medical Researchers have elevated Qatar's market positioning from a clinical trial destination to a high-value research partner. In Q3 alone, our Medical Researcher team closed 14 new contracts valued at $6.3M – representing a record-breaking quarter for research-driven sales in Qatar Doha.</w:t>
      </w:r>
    </w:p>
    <w:bookmarkEnd w:id="22"/>
    <w:bookmarkStart w:id="23" w:name="Xfd89e4720212a8cccd92186d353e6a11146b76f"/>
    <w:p>
      <w:pPr>
        <w:pStyle w:val="Heading2"/>
      </w:pPr>
      <w:r>
        <w:t xml:space="preserve">Strategic Achievements Driving Sales Growth</w:t>
      </w:r>
    </w:p>
    <w:p>
      <w:pPr>
        <w:pStyle w:val="FirstParagraph"/>
      </w:pPr>
      <w:r>
        <w:t xml:space="preserve">Several key initiatives led by Medical Researchers have directly impacted revenue streams:</w:t>
      </w:r>
    </w:p>
    <w:p>
      <w:pPr>
        <w:numPr>
          <w:ilvl w:val="0"/>
          <w:numId w:val="1002"/>
        </w:numPr>
        <w:pStyle w:val="Compact"/>
      </w:pPr>
      <w:r>
        <w:rPr>
          <w:bCs/>
          <w:b/>
        </w:rPr>
        <w:t xml:space="preserve">National Diabetes Cohort Initiative:</w:t>
      </w:r>
      <w:r>
        <w:t xml:space="preserve"> </w:t>
      </w:r>
      <w:r>
        <w:t xml:space="preserve">Led by Dr. Amina Al-Thani (Medical Researcher), this 5-year study secured a $4.2M contract from Eli Lilly, leveraging Qatar's high diabetes prevalence to develop region-specific therapeutics – a first-of-its-kind agreement in Gulf research history.</w:t>
      </w:r>
    </w:p>
    <w:p>
      <w:pPr>
        <w:numPr>
          <w:ilvl w:val="0"/>
          <w:numId w:val="1002"/>
        </w:numPr>
        <w:pStyle w:val="Compact"/>
      </w:pPr>
      <w:r>
        <w:rPr>
          <w:bCs/>
          <w:b/>
        </w:rPr>
        <w:t xml:space="preserve">Telehealth Research Partnership:</w:t>
      </w:r>
      <w:r>
        <w:t xml:space="preserve"> </w:t>
      </w:r>
      <w:r>
        <w:t xml:space="preserve">Medical Researchers designed and sold a $3.1M collaborative study with Samsung Health, establishing Doha as the Middle East hub for digital health innovation. This deal included future revenue sharing on commercialized AI diagnostics.</w:t>
      </w:r>
    </w:p>
    <w:bookmarkEnd w:id="23"/>
    <w:bookmarkStart w:id="24" w:name="overcoming-market-challenges"/>
    <w:p>
      <w:pPr>
        <w:pStyle w:val="Heading2"/>
      </w:pPr>
      <w:r>
        <w:t xml:space="preserve">Overcoming Market Challenges</w:t>
      </w:r>
    </w:p>
    <w:p>
      <w:pPr>
        <w:pStyle w:val="FirstParagraph"/>
      </w:pPr>
      <w:r>
        <w:t xml:space="preserve">The path to these sales successes involved navigating significant market barriers:</w:t>
      </w:r>
    </w:p>
    <w:p>
      <w:pPr>
        <w:numPr>
          <w:ilvl w:val="0"/>
          <w:numId w:val="1003"/>
        </w:numPr>
        <w:pStyle w:val="Compact"/>
      </w:pPr>
      <w:r>
        <w:rPr>
          <w:bCs/>
          <w:b/>
        </w:rPr>
        <w:t xml:space="preserve">Regulatory Complexity:</w:t>
      </w:r>
      <w:r>
        <w:t xml:space="preserve"> </w:t>
      </w:r>
      <w:r>
        <w:t xml:space="preserve">Medical Researchers streamlined approval processes by developing Qatar-specific regulatory templates, reducing contract finalization time by 41% and enabling faster revenue realization.</w:t>
      </w:r>
    </w:p>
    <w:p>
      <w:pPr>
        <w:numPr>
          <w:ilvl w:val="0"/>
          <w:numId w:val="1003"/>
        </w:numPr>
        <w:pStyle w:val="Compact"/>
      </w:pPr>
      <w:r>
        <w:rPr>
          <w:bCs/>
          <w:b/>
        </w:rPr>
        <w:t xml:space="preserve">Cultural Integration:</w:t>
      </w:r>
      <w:r>
        <w:t xml:space="preserve"> </w:t>
      </w:r>
      <w:r>
        <w:t xml:space="preserve">The team established "Research Ambassador" programs engaging Qatari healthcare providers, converting skepticism into 22 new institutional partnerships – directly contributing to $3.7M in recurring revenue.</w:t>
      </w:r>
    </w:p>
    <w:p>
      <w:pPr>
        <w:numPr>
          <w:ilvl w:val="0"/>
          <w:numId w:val="1003"/>
        </w:numPr>
        <w:pStyle w:val="Compact"/>
      </w:pPr>
      <w:r>
        <w:rPr>
          <w:bCs/>
          <w:b/>
        </w:rPr>
        <w:t xml:space="preserve">Competition Differentiation:</w:t>
      </w:r>
      <w:r>
        <w:t xml:space="preserve"> </w:t>
      </w:r>
      <w:r>
        <w:t xml:space="preserve">By emphasizing Qatar Doha's unique genetic databases and fast-track ethics approval (14 days vs. global average of 60), Medical Researchers positioned the city as the preferred research destination for rare disease studies – capturing 37% of regional market share in this niche.</w:t>
      </w:r>
    </w:p>
    <w:bookmarkEnd w:id="24"/>
    <w:bookmarkStart w:id="25" w:name="qatar-dohas-competitive-advantage"/>
    <w:p>
      <w:pPr>
        <w:pStyle w:val="Heading2"/>
      </w:pPr>
      <w:r>
        <w:t xml:space="preserve">Qatar Doha's Competitive Advantage</w:t>
      </w:r>
    </w:p>
    <w:p>
      <w:pPr>
        <w:pStyle w:val="FirstParagraph"/>
      </w:pPr>
      <w:r>
        <w:t xml:space="preserve">What sets Qatar Doha apart is how Medical Researchers have transformed infrastructure into a sales asset. Unlike other global hubs, our researchers leverage:</w:t>
      </w:r>
    </w:p>
    <w:p>
      <w:pPr>
        <w:numPr>
          <w:ilvl w:val="0"/>
          <w:numId w:val="1004"/>
        </w:numPr>
        <w:pStyle w:val="Compact"/>
      </w:pPr>
      <w:r>
        <w:rPr>
          <w:bCs/>
          <w:b/>
        </w:rPr>
        <w:t xml:space="preserve">Cultural Intelligence:</w:t>
      </w:r>
      <w:r>
        <w:t xml:space="preserve"> </w:t>
      </w:r>
      <w:r>
        <w:t xml:space="preserve">Understanding local healthcare norms to design studies with higher patient enrollment rates (34% above regional average).</w:t>
      </w:r>
    </w:p>
    <w:p>
      <w:pPr>
        <w:numPr>
          <w:ilvl w:val="0"/>
          <w:numId w:val="1004"/>
        </w:numPr>
        <w:pStyle w:val="Compact"/>
      </w:pPr>
      <w:r>
        <w:rPr>
          <w:bCs/>
          <w:b/>
        </w:rPr>
        <w:t xml:space="preserve">National Alignment:</w:t>
      </w:r>
      <w:r>
        <w:t xml:space="preserve"> </w:t>
      </w:r>
      <w:r>
        <w:t xml:space="preserve">Direct linkage between research outputs and Qatar's health priorities (e.g., obesity, cardiovascular diseases), making proposals more compelling to funders.</w:t>
      </w:r>
    </w:p>
    <w:p>
      <w:pPr>
        <w:numPr>
          <w:ilvl w:val="0"/>
          <w:numId w:val="1004"/>
        </w:numPr>
        <w:pStyle w:val="Compact"/>
      </w:pPr>
      <w:r>
        <w:rPr>
          <w:bCs/>
          <w:b/>
        </w:rPr>
        <w:t xml:space="preserve">Digital Integration:</w:t>
      </w:r>
      <w:r>
        <w:t xml:space="preserve"> </w:t>
      </w:r>
      <w:r>
        <w:t xml:space="preserve">Using Qatar's national health data platform (QHIS) for rapid patient identification – a feature cited in 92% of successful contract negotiations.</w:t>
      </w:r>
    </w:p>
    <w:bookmarkEnd w:id="25"/>
    <w:bookmarkStart w:id="26" w:name="future-outlook-strategic-recommendations"/>
    <w:p>
      <w:pPr>
        <w:pStyle w:val="Heading2"/>
      </w:pPr>
      <w:r>
        <w:t xml:space="preserve">Future Outlook &amp; Strategic Recommendations</w:t>
      </w:r>
    </w:p>
    <w:p>
      <w:pPr>
        <w:pStyle w:val="FirstParagraph"/>
      </w:pPr>
      <w:r>
        <w:t xml:space="preserve">The Medical Researcher role will be central to Qatar Doha's next-phase growth, with projected sales of $38M in 2024. We recommend three strategic priorities:</w:t>
      </w:r>
    </w:p>
    <w:p>
      <w:pPr>
        <w:numPr>
          <w:ilvl w:val="0"/>
          <w:numId w:val="1005"/>
        </w:numPr>
        <w:pStyle w:val="Compact"/>
      </w:pPr>
      <w:r>
        <w:rPr>
          <w:bCs/>
          <w:b/>
        </w:rPr>
        <w:t xml:space="preserve">Research-to-Product Pipeline Expansion:</w:t>
      </w:r>
      <w:r>
        <w:t xml:space="preserve"> </w:t>
      </w:r>
      <w:r>
        <w:t xml:space="preserve">Establishing a dedicated Medical Researcher team focused on commercializing IP, targeting $15M+ in new licensing revenue by 2025.</w:t>
      </w:r>
    </w:p>
    <w:p>
      <w:pPr>
        <w:numPr>
          <w:ilvl w:val="0"/>
          <w:numId w:val="1005"/>
        </w:numPr>
        <w:pStyle w:val="Compact"/>
      </w:pPr>
      <w:r>
        <w:rPr>
          <w:bCs/>
          <w:b/>
        </w:rPr>
        <w:t xml:space="preserve">Doha as AI Research Hub:</w:t>
      </w:r>
      <w:r>
        <w:t xml:space="preserve"> </w:t>
      </w:r>
      <w:r>
        <w:t xml:space="preserve">Leveraging Qatar's $3.2B National AI Strategy to position Medical Researchers at the forefront of AI-driven clinical trials – expected to capture 40% of Middle East's $180M market for AI in pharma research.</w:t>
      </w:r>
    </w:p>
    <w:p>
      <w:pPr>
        <w:numPr>
          <w:ilvl w:val="0"/>
          <w:numId w:val="1005"/>
        </w:numPr>
        <w:pStyle w:val="Compact"/>
      </w:pPr>
      <w:r>
        <w:rPr>
          <w:bCs/>
          <w:b/>
        </w:rPr>
        <w:t xml:space="preserve">Regional Sales Enablement:</w:t>
      </w:r>
      <w:r>
        <w:t xml:space="preserve"> </w:t>
      </w:r>
      <w:r>
        <w:t xml:space="preserve">Creating a "Qatar Doha Research Ambassador" program where Medical Researchers travel to GCC countries to convert leads, targeting 25% market share increase in regional partnerships.</w:t>
      </w:r>
    </w:p>
    <w:bookmarkEnd w:id="26"/>
    <w:bookmarkStart w:id="27" w:name="conclusion"/>
    <w:p>
      <w:pPr>
        <w:pStyle w:val="Heading2"/>
      </w:pPr>
      <w:r>
        <w:t xml:space="preserve">Conclusion</w:t>
      </w:r>
    </w:p>
    <w:p>
      <w:pPr>
        <w:pStyle w:val="FirstParagraph"/>
      </w:pPr>
      <w:r>
        <w:t xml:space="preserve">This Sales Report unequivocally demonstrates that the Medical Researcher is no longer a support function but the cornerstone of revenue generation in Qatar Doha's healthcare innovation economy. By strategically aligning scientific expertise with market needs, these professionals have transformed Qatar's research sector into a $30M+ annual sales engine that directly supports National Vision 2030 goals. The data confirms that every dollar invested in Medical Researcher positions yields $5.87 in direct revenue – proving their essential role as both scientific pioneers and commercial drivers.</w:t>
      </w:r>
    </w:p>
    <w:p>
      <w:pPr>
        <w:pStyle w:val="BodyText"/>
      </w:pPr>
      <w:r>
        <w:t xml:space="preserve">As Qatar Doha continues its journey to become the Middle East's medical research capital, the strategic deployment of Medical Researchers will remain our most powerful sales catalyst. We stand ready to scale these proven methodologies across all healthcare innovation initiatives, ensuring continued growth in research-driven revenue streams for Qatar's national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Medical Researcher Sales Report</dc:title>
  <dc:creator/>
  <dc:language>en</dc:language>
  <cp:keywords/>
  <dcterms:created xsi:type="dcterms:W3CDTF">2025-12-13T08:17:57Z</dcterms:created>
  <dcterms:modified xsi:type="dcterms:W3CDTF">2025-12-13T08:17:57Z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