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Moscow</w:t>
      </w:r>
    </w:p>
    <w:bookmarkStart w:id="28" w:name="Xb5ea76ebcb7b4083e1de38641960bce2b00a1ac"/>
    <w:p>
      <w:pPr>
        <w:pStyle w:val="Heading1"/>
      </w:pPr>
      <w:r>
        <w:t xml:space="preserve">Sales Report: Medical Researcher Impact on Market Growth in Russia Moscow (Q3 2023)</w:t>
      </w:r>
    </w:p>
    <w:bookmarkStart w:id="20" w:name="executive-summary"/>
    <w:p>
      <w:pPr>
        <w:pStyle w:val="Heading2"/>
      </w:pPr>
      <w:r>
        <w:t xml:space="preserve">Executive Summary</w:t>
      </w:r>
    </w:p>
    <w:p>
      <w:pPr>
        <w:pStyle w:val="FirstParagraph"/>
      </w:pPr>
      <w:r>
        <w:t xml:space="preserve">This comprehensive Sales Report details the critical role of our Medical Researcher team in driving market expansion and revenue growth across the Russia Moscow pharmaceutical landscape. The report demonstrates how strategic medical research initiatives directly correlate with a 34% year-over-year sales increase in key therapeutic categories within Moscow's $12.7B healthcare market. As the leading medical research hub in Eastern Europe, Moscow remains our primary growth engine, with Medical Researcher contributions accounting for 62% of new product pipeline revenue.</w:t>
      </w:r>
    </w:p>
    <w:bookmarkEnd w:id="20"/>
    <w:bookmarkStart w:id="21" w:name="X8924de2a25132cf8118a7e66e8fbc6a9bff405c"/>
    <w:p>
      <w:pPr>
        <w:pStyle w:val="Heading2"/>
      </w:pPr>
      <w:r>
        <w:t xml:space="preserve">Market Context: Russia Moscow Healthcare Dynamics</w:t>
      </w:r>
    </w:p>
    <w:p>
      <w:pPr>
        <w:pStyle w:val="FirstParagraph"/>
      </w:pPr>
      <w:r>
        <w:t xml:space="preserve">The Russian pharmaceutical market in Moscow exhibits unique characteristics requiring specialized medical insights. With 35% of all national healthcare R&amp;D concentrated in Moscow, our Medical Researcher team operates at the epicenter of innovation. Current regulatory shifts (including 2023 amendments to Federal Law No. 61-FZ on medical products) have created urgent demand for locally validated research data – a domain where our Moscow-based Medical Researchers provide decisive competitive advantage.</w:t>
      </w:r>
    </w:p>
    <w:p>
      <w:pPr>
        <w:pStyle w:val="BodyText"/>
      </w:pPr>
      <w:r>
        <w:t xml:space="preserve">Notably, Moscow's market penetration rate for innovative biologics stands at 47%, significantly higher than the national average (32%). This premium segment growth directly stems from our Medical Researcher-led clinical validation studies conducted across 12 major Moscow hospitals including City Clinical Hospital No. 50 and Burdenko Neurosurgery Institute.</w:t>
      </w:r>
    </w:p>
    <w:bookmarkEnd w:id="21"/>
    <w:bookmarkStart w:id="22" w:name="X9fe00dabbdf582cca2f40cb58f5db010092f968"/>
    <w:p>
      <w:pPr>
        <w:pStyle w:val="Heading2"/>
      </w:pPr>
      <w:r>
        <w:t xml:space="preserve">Sales Performance Analysis: Research-Driven Revenue Impact</w:t>
      </w:r>
    </w:p>
    <w:p>
      <w:pPr>
        <w:pStyle w:val="FirstParagraph"/>
      </w:pPr>
      <w:r>
        <w:t xml:space="preserve">Therapeutic Area</w:t>
      </w:r>
    </w:p>
    <w:p>
      <w:pPr>
        <w:pStyle w:val="BodyText"/>
      </w:pPr>
      <w:r>
        <w:t xml:space="preserve">Q3 2023 Sales (RUB)</w:t>
      </w:r>
    </w:p>
    <w:p>
      <w:pPr>
        <w:pStyle w:val="BodyText"/>
      </w:pPr>
      <w:r>
        <w:t xml:space="preserve">YoY Growth</w:t>
      </w:r>
    </w:p>
    <w:p>
      <w:pPr>
        <w:pStyle w:val="BodyText"/>
      </w:pPr>
      <w:r>
        <w:t xml:space="preserve">Medical Researcher Impact Factor</w:t>
      </w:r>
    </w:p>
    <w:p>
      <w:pPr>
        <w:pStyle w:val="BodyText"/>
      </w:pPr>
      <w:r>
        <w:t xml:space="preserve">Oncology Biologics</w:t>
      </w:r>
    </w:p>
    <w:p>
      <w:pPr>
        <w:pStyle w:val="BodyText"/>
      </w:pPr>
      <w:r>
        <w:t xml:space="preserve">4.8B</w:t>
      </w:r>
    </w:p>
    <w:p>
      <w:pPr>
        <w:pStyle w:val="BodyText"/>
      </w:pPr>
      <w:r>
        <w:t xml:space="preserve">+41%</w:t>
      </w:r>
    </w:p>
    <w:p>
      <w:pPr>
        <w:pStyle w:val="BodyText"/>
      </w:pPr>
      <w:r>
        <w:t xml:space="preserve">73% (clinical data validation)</w:t>
      </w:r>
    </w:p>
    <w:p>
      <w:pPr>
        <w:pStyle w:val="BodyText"/>
      </w:pPr>
      <w:r>
        <w:t xml:space="preserve">CNS Therapeutics</w:t>
      </w:r>
    </w:p>
    <w:p>
      <w:pPr>
        <w:pStyle w:val="BodyText"/>
      </w:pPr>
      <w:r>
        <w:t xml:space="preserve">2.9B</w:t>
      </w:r>
    </w:p>
    <w:p>
      <w:pPr>
        <w:pStyle w:val="BodyText"/>
      </w:pPr>
      <w:r>
        <w:t xml:space="preserve">+29%</w:t>
      </w:r>
    </w:p>
    <w:p>
      <w:pPr>
        <w:pStyle w:val="BodyText"/>
      </w:pPr>
      <w:r>
        <w:t xml:space="preserve">68% (Moscow-specific efficacy studies)</w:t>
      </w:r>
    </w:p>
    <w:p>
      <w:pPr>
        <w:pStyle w:val="BodyText"/>
      </w:pPr>
      <w:r>
        <w:t xml:space="preserve">Diagnostics Suite</w:t>
      </w:r>
    </w:p>
    <w:p>
      <w:pPr>
        <w:pStyle w:val="BodyText"/>
      </w:pPr>
      <w:r>
        <w:t xml:space="preserve">1.7B</w:t>
      </w:r>
    </w:p>
    <w:p>
      <w:pPr>
        <w:pStyle w:val="BodyText"/>
      </w:pPr>
      <w:r>
        <w:t xml:space="preserve">+54%</w:t>
      </w:r>
    </w:p>
    <w:p>
      <w:pPr>
        <w:pStyle w:val="BodyText"/>
      </w:pPr>
      <w:r>
        <w:t xml:space="preserve">81% (regulatory submission support)</w:t>
      </w:r>
    </w:p>
    <w:p>
      <w:pPr>
        <w:pStyle w:val="BodyText"/>
      </w:pPr>
      <w:r>
        <w:t xml:space="preserve">The data reveals that all high-growth categories (&gt;25% YoY) feature Medical Researcher-led studies conducted within Moscow's clinical ecosystem. For instance, our oncology biologics revenue surge directly resulted from a Phase III study led by Senior Medical Researcher Dr. Elena Petrova at Moscow Oncology Center, demonstrating 18% superior efficacy over competitors in Russian patient cohorts.</w:t>
      </w:r>
    </w:p>
    <w:bookmarkEnd w:id="22"/>
    <w:bookmarkStart w:id="23" w:name="X044456ffc6d5afb4459f367d7b9c6205dfbaabb"/>
    <w:p>
      <w:pPr>
        <w:pStyle w:val="Heading2"/>
      </w:pPr>
      <w:r>
        <w:t xml:space="preserve">Critical Success Factors: The Medical Researcher Advantage</w:t>
      </w:r>
    </w:p>
    <w:p>
      <w:pPr>
        <w:numPr>
          <w:ilvl w:val="0"/>
          <w:numId w:val="1001"/>
        </w:numPr>
        <w:pStyle w:val="Compact"/>
      </w:pPr>
      <w:r>
        <w:rPr>
          <w:bCs/>
          <w:b/>
        </w:rPr>
        <w:t xml:space="preserve">Regulatory Navigation:</w:t>
      </w:r>
      <w:r>
        <w:t xml:space="preserve"> </w:t>
      </w:r>
      <w:r>
        <w:t xml:space="preserve">Our Moscow-based Medical Researchers secured 3 accelerated approvals (vs. industry avg. 1.2) through targeted local data generation, directly enabling early market entry for three new products.</w:t>
      </w:r>
    </w:p>
    <w:p>
      <w:pPr>
        <w:numPr>
          <w:ilvl w:val="0"/>
          <w:numId w:val="1001"/>
        </w:numPr>
        <w:pStyle w:val="Compact"/>
      </w:pPr>
      <w:r>
        <w:rPr>
          <w:bCs/>
          <w:b/>
        </w:rPr>
        <w:t xml:space="preserve">Clinical Validation:</w:t>
      </w:r>
      <w:r>
        <w:t xml:space="preserve"> </w:t>
      </w:r>
      <w:r>
        <w:t xml:space="preserve">Real-world evidence studies conducted across Moscow's public health network (17 hospitals) provided the clinical justification for 85% of premium pricing in Russia's $4.2B specialty pharmacy segment.</w:t>
      </w:r>
    </w:p>
    <w:p>
      <w:pPr>
        <w:numPr>
          <w:ilvl w:val="0"/>
          <w:numId w:val="1001"/>
        </w:numPr>
        <w:pStyle w:val="Compact"/>
      </w:pPr>
      <w:r>
        <w:rPr>
          <w:bCs/>
          <w:b/>
        </w:rPr>
        <w:t xml:space="preserve">Tailored Product Development:</w:t>
      </w:r>
      <w:r>
        <w:t xml:space="preserve"> </w:t>
      </w:r>
      <w:r>
        <w:t xml:space="preserve">Medical Researchers identified unmet needs in Moscow-specific conditions like rheumatic diseases (prevalence: 12.7% vs. global avg. 9%), directly informing new formulations that captured 31% of the Moscow market share in this category.</w:t>
      </w:r>
    </w:p>
    <w:bookmarkEnd w:id="23"/>
    <w:bookmarkStart w:id="24" w:name="X116e34ae551b16f27b4a4b45708f594d189bc91"/>
    <w:p>
      <w:pPr>
        <w:pStyle w:val="Heading2"/>
      </w:pPr>
      <w:r>
        <w:t xml:space="preserve">Market Challenges &amp; Research-Driven Solutions</w:t>
      </w:r>
    </w:p>
    <w:p>
      <w:pPr>
        <w:pStyle w:val="FirstParagraph"/>
      </w:pPr>
      <w:r>
        <w:t xml:space="preserve">Russia Moscow's complex healthcare environment presents unique barriers:</w:t>
      </w:r>
    </w:p>
    <w:p>
      <w:pPr>
        <w:numPr>
          <w:ilvl w:val="0"/>
          <w:numId w:val="1002"/>
        </w:numPr>
        <w:pStyle w:val="Compact"/>
      </w:pPr>
      <w:r>
        <w:rPr>
          <w:bCs/>
          <w:b/>
        </w:rPr>
        <w:t xml:space="preserve">Regulatory Complexity:</w:t>
      </w:r>
      <w:r>
        <w:t xml:space="preserve"> </w:t>
      </w:r>
      <w:r>
        <w:t xml:space="preserve">Medical Researchers developed a localized clinical trial protocol template reducing submission time by 44%, directly accelerating commercialization.</w:t>
      </w:r>
    </w:p>
    <w:p>
      <w:pPr>
        <w:numPr>
          <w:ilvl w:val="0"/>
          <w:numId w:val="1002"/>
        </w:numPr>
        <w:pStyle w:val="Compact"/>
      </w:pPr>
      <w:r>
        <w:rPr>
          <w:bCs/>
          <w:b/>
        </w:rPr>
        <w:t xml:space="preserve">Clinician Trust Gap:</w:t>
      </w:r>
      <w:r>
        <w:t xml:space="preserve"> </w:t>
      </w:r>
      <w:r>
        <w:t xml:space="preserve">Our Moscow Medical Researcher team initiated the "Moscow Evidence Series" – publishing 12 local efficacy studies in Russian medical journals – building physician confidence that drove 68% higher prescription rates for research-backed products.</w:t>
      </w:r>
    </w:p>
    <w:p>
      <w:pPr>
        <w:numPr>
          <w:ilvl w:val="0"/>
          <w:numId w:val="1002"/>
        </w:numPr>
        <w:pStyle w:val="Compact"/>
      </w:pPr>
      <w:r>
        <w:rPr>
          <w:bCs/>
          <w:b/>
        </w:rPr>
        <w:t xml:space="preserve">Competitive Differentiation:</w:t>
      </w:r>
      <w:r>
        <w:t xml:space="preserve"> </w:t>
      </w:r>
      <w:r>
        <w:t xml:space="preserve">In the congested Moscow oncology market (17 competitors), Medical Researchers secured exclusive data on patient response to combination therapies, enabling a 22% pricing premium for our flagship drug.</w:t>
      </w:r>
    </w:p>
    <w:bookmarkEnd w:id="24"/>
    <w:bookmarkStart w:id="25" w:name="Xfa4201a3216f3916bba84308373597b6238cf60"/>
    <w:p>
      <w:pPr>
        <w:pStyle w:val="Heading2"/>
      </w:pPr>
      <w:r>
        <w:t xml:space="preserve">Growth Opportunities: Leveraging Moscow's Research Ecosystem</w:t>
      </w:r>
    </w:p>
    <w:p>
      <w:pPr>
        <w:pStyle w:val="FirstParagraph"/>
      </w:pPr>
      <w:r>
        <w:t xml:space="preserve">With Moscow hosting 43% of Russia's clinical research facilities (per Rospotrebnadzor data), we propose three strategic initiatives:</w:t>
      </w:r>
    </w:p>
    <w:p>
      <w:pPr>
        <w:numPr>
          <w:ilvl w:val="0"/>
          <w:numId w:val="1003"/>
        </w:numPr>
        <w:pStyle w:val="Compact"/>
      </w:pPr>
      <w:r>
        <w:rPr>
          <w:bCs/>
          <w:b/>
        </w:rPr>
        <w:t xml:space="preserve">Moscow Research Innovation Fund:</w:t>
      </w:r>
      <w:r>
        <w:t xml:space="preserve"> </w:t>
      </w:r>
      <w:r>
        <w:t xml:space="preserve">Allocate 15% of Q4 R&amp;D budget to fund Medical Researcher-led projects targeting Moscow-specific health challenges (e.g., cardiovascular diseases in Arctic populations), projected to generate 8-10% new revenue streams by Q2 2024.</w:t>
      </w:r>
    </w:p>
    <w:p>
      <w:pPr>
        <w:numPr>
          <w:ilvl w:val="0"/>
          <w:numId w:val="1003"/>
        </w:numPr>
        <w:pStyle w:val="Compact"/>
      </w:pPr>
      <w:r>
        <w:rPr>
          <w:bCs/>
          <w:b/>
        </w:rPr>
        <w:t xml:space="preserve">University Partnership Expansion:</w:t>
      </w:r>
      <w:r>
        <w:t xml:space="preserve"> </w:t>
      </w:r>
      <w:r>
        <w:t xml:space="preserve">Formalize collaborations with Moscow State University and Sechenov Medical Academy to establish joint Medical Researcher training programs, ensuring continuous talent pipeline for Russia Moscow operations.</w:t>
      </w:r>
    </w:p>
    <w:p>
      <w:pPr>
        <w:numPr>
          <w:ilvl w:val="0"/>
          <w:numId w:val="1003"/>
        </w:numPr>
        <w:pStyle w:val="Compact"/>
      </w:pPr>
      <w:r>
        <w:rPr>
          <w:bCs/>
          <w:b/>
        </w:rPr>
        <w:t xml:space="preserve">Digital Health Integration:</w:t>
      </w:r>
      <w:r>
        <w:t xml:space="preserve"> </w:t>
      </w:r>
      <w:r>
        <w:t xml:space="preserve">Develop AI-driven analysis tools using Moscow healthcare data, enabled by our Medical Researchers' clinical expertise, to predict market shifts with 92% accuracy (vs. industry 68%).</w:t>
      </w:r>
    </w:p>
    <w:bookmarkEnd w:id="25"/>
    <w:bookmarkStart w:id="27" w:name="X267f5962840dd795f8ddf1cee3a7e7c613abb3b"/>
    <w:p>
      <w:pPr>
        <w:pStyle w:val="Heading2"/>
      </w:pPr>
      <w:r>
        <w:t xml:space="preserve">Conclusion: The Medical Researcher as Sales Catalyst</w:t>
      </w:r>
    </w:p>
    <w:p>
      <w:pPr>
        <w:pStyle w:val="FirstParagraph"/>
      </w:pPr>
      <w:r>
        <w:t xml:space="preserve">This Sales Report conclusively demonstrates that in the Russia Moscow healthcare market, Medical Researchers are not merely support staff but strategic revenue drivers. Their localized research capabilities directly translate to premium pricing, accelerated approvals, and market share gains across all high-growth therapeutic areas. The 34% sales growth we've achieved in Q3 is fundamentally rooted in the work of our Moscow-based Medical Researcher team – from clinical trial design at Burdenko Institute to regulatory strategy development at our Moscow headquarters.</w:t>
      </w:r>
    </w:p>
    <w:p>
      <w:pPr>
        <w:pStyle w:val="BodyText"/>
      </w:pPr>
      <w:r>
        <w:t xml:space="preserve">As we enter 2024, maintaining this competitive edge requires doubling down on medical research investment within Russia. Every ruble allocated to Medical Researchers in Moscow yields an average of RUB 7.8 in direct sales revenue (vs. RUB 3.2 for general marketing spend). We recommend elevating the Medical Researcher role to equal strategic standing with commercial leadership teams across all Russia Moscow operations, with a dedicated budget increase of 18% for Q1 2024.</w:t>
      </w:r>
    </w:p>
    <w:p>
      <w:pPr>
        <w:pStyle w:val="BodyText"/>
      </w:pPr>
      <w:r>
        <w:t xml:space="preserve">Ultimately, in the fiercely competitive Moscow market where regulatory and clinical validation determine success, our Medical Researchers are the indispensable engine powering our sales growth. The evidence is clear: In Russia's most dynamic healthcare market, medical research isn't just important – it's the core of sustainable commercial success.</w:t>
      </w:r>
    </w:p>
    <w:bookmarkStart w:id="26" w:name="report-prepared-by"/>
    <w:p>
      <w:pPr>
        <w:pStyle w:val="Heading3"/>
      </w:pPr>
      <w:r>
        <w:t xml:space="preserve">Report Prepared By:</w:t>
      </w:r>
    </w:p>
    <w:p>
      <w:pPr>
        <w:pStyle w:val="FirstParagraph"/>
      </w:pPr>
      <w:r>
        <w:t xml:space="preserve">Global Sales Intelligence Division | Moscow Operations</w:t>
      </w:r>
    </w:p>
    <w:p>
      <w:pPr>
        <w:pStyle w:val="BodyText"/>
      </w:pPr>
      <w:r>
        <w:t xml:space="preserve">Date: October 27, 2023</w:t>
      </w:r>
    </w:p>
    <w:p>
      <w:r>
        <w:pict>
          <v:rect style="width:0;height:1.5pt" o:hralign="center" o:hrstd="t" o:hr="t"/>
        </w:pict>
      </w:r>
    </w:p>
    <w:p>
      <w:pPr>
        <w:pStyle w:val="FirstParagraph"/>
      </w:pPr>
      <w:r>
        <w:rPr>
          <w:bCs/>
          <w:b/>
        </w:rPr>
        <w:t xml:space="preserve">Disclaimer:</w:t>
      </w:r>
      <w:r>
        <w:t xml:space="preserve"> </w:t>
      </w:r>
      <w:r>
        <w:t xml:space="preserve">All sales figures represent actual revenue from Russia Moscow operations (including Moscow City, Moscow Oblast). Medical Researcher impact metrics derived from comparative analysis of research-led vs. non-research-led product launches. Regulatory data sourced from Rospotrebnadzor and Federal Drug Agency.</w:t>
      </w:r>
    </w:p>
    <w:p>
      <w:pPr>
        <w:pStyle w:val="BodyText"/>
      </w:pPr>
      <w:r>
        <w:rPr>
          <w:bCs/>
          <w:b/>
        </w:rPr>
        <w:t xml:space="preserve">Word Count:</w:t>
      </w:r>
      <w:r>
        <w:t xml:space="preserve"> </w:t>
      </w:r>
      <w:r>
        <w:t xml:space="preserve">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Russia Moscow</dc:title>
  <dc:creator/>
  <dc:language>en</dc:language>
  <cp:keywords/>
  <dcterms:created xsi:type="dcterms:W3CDTF">2026-07-24T15:44:45Z</dcterms:created>
  <dcterms:modified xsi:type="dcterms:W3CDTF">2026-07-24T15:44:45Z</dcterms:modified>
</cp:coreProperties>
</file>

<file path=docProps/custom.xml><?xml version="1.0" encoding="utf-8"?>
<Properties xmlns="http://schemas.openxmlformats.org/officeDocument/2006/custom-properties" xmlns:vt="http://schemas.openxmlformats.org/officeDocument/2006/docPropsVTypes"/>
</file>