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31a32b7c8834b6054e70155c55aa2e99b9c57a4"/>
    <w:p>
      <w:pPr>
        <w:pStyle w:val="Heading1"/>
      </w:pPr>
      <w:r>
        <w:t xml:space="preserve">Sales Report for Medical Researcher Recruitment in Russia Saint Petersburg</w:t>
      </w:r>
    </w:p>
    <w:p>
      <w:pPr>
        <w:pStyle w:val="FirstParagraph"/>
      </w:pPr>
      <w:r>
        <w:t xml:space="preserve">This comprehensive</w:t>
      </w:r>
      <w:r>
        <w:t xml:space="preserve"> </w:t>
      </w:r>
      <w:r>
        <w:rPr>
          <w:bCs/>
          <w:b/>
        </w:rPr>
        <w:t xml:space="preserve">Sales Report</w:t>
      </w:r>
      <w:r>
        <w:t xml:space="preserve"> </w:t>
      </w:r>
      <w:r>
        <w:t xml:space="preserve">provides an in-depth analysis of the medical researcher recruitment market specifically within Russia's economic hub, Saint Petersburg. As a leading healthcare staffing solutions provider, our organization has dedicated significant resources to understanding and capitalizing on the unique demands of this critical region. This document serves as both a performance review and strategic roadmap for future initiatives involving</w:t>
      </w:r>
      <w:r>
        <w:t xml:space="preserve"> </w:t>
      </w:r>
      <w:r>
        <w:rPr>
          <w:iCs/>
          <w:i/>
        </w:rPr>
        <w:t xml:space="preserve">Medical Researcher</w:t>
      </w:r>
      <w:r>
        <w:t xml:space="preserve"> </w:t>
      </w:r>
      <w:r>
        <w:t xml:space="preserve">placements in</w:t>
      </w:r>
      <w:r>
        <w:t xml:space="preserve"> </w:t>
      </w:r>
      <w:r>
        <w:rPr>
          <w:bCs/>
          <w:b/>
        </w:rPr>
        <w:t xml:space="preserve">Russia Saint Petersburg</w:t>
      </w:r>
      <w:r>
        <w:t xml:space="preserve">.</w:t>
      </w:r>
    </w:p>
    <w:bookmarkStart w:id="20" w:name="X564ae7c2dfe6623dcb5f1278938ba3dd9899e37"/>
    <w:p>
      <w:pPr>
        <w:pStyle w:val="Heading2"/>
      </w:pPr>
      <w:r>
        <w:t xml:space="preserve">Market Analysis: Saint Petersburg's Medical Research Landscape</w:t>
      </w:r>
    </w:p>
    <w:p>
      <w:pPr>
        <w:pStyle w:val="FirstParagraph"/>
      </w:pPr>
      <w:r>
        <w:t xml:space="preserve">Saint Petersburg, Russia's second-largest city and a historic center of scientific innovation, has emerged as a pivotal hub for medical research. The city hosts over 30 major research institutions including the National Medical Research Center of Cardiology and the Institute of Experimental Medicine. Our</w:t>
      </w:r>
      <w:r>
        <w:t xml:space="preserve"> </w:t>
      </w:r>
      <w:r>
        <w:rPr>
          <w:bCs/>
          <w:b/>
        </w:rPr>
        <w:t xml:space="preserve">Sales Report</w:t>
      </w:r>
      <w:r>
        <w:t xml:space="preserve"> </w:t>
      </w:r>
      <w:r>
        <w:t xml:space="preserve">reveals that demand for specialized</w:t>
      </w:r>
      <w:r>
        <w:t xml:space="preserve"> </w:t>
      </w:r>
      <w:r>
        <w:rPr>
          <w:iCs/>
          <w:i/>
        </w:rPr>
        <w:t xml:space="preserve">Medical Researcher</w:t>
      </w:r>
      <w:r>
        <w:t xml:space="preserve"> </w:t>
      </w:r>
      <w:r>
        <w:t xml:space="preserve">personnel has increased by 28% year-over-year in Saint Petersburg, driven by pharmaceutical companies expanding clinical trials and government initiatives targeting cardiovascular and oncological research. This growth trajectory directly positions our recruitment services at the forefront of Russia's medical advancement sector.</w:t>
      </w:r>
    </w:p>
    <w:bookmarkEnd w:id="20"/>
    <w:bookmarkStart w:id="21" w:name="X842086bfdae8b80fd06a03004d7bd91b2876dc8"/>
    <w:p>
      <w:pPr>
        <w:pStyle w:val="Heading2"/>
      </w:pPr>
      <w:r>
        <w:t xml:space="preserve">Current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Medical Researcher Placements in Saint Petersburg</w:t>
            </w:r>
          </w:p>
        </w:tc>
        <w:tc>
          <w:tcPr/>
          <w:p>
            <w:pPr>
              <w:pStyle w:val="Compact"/>
              <w:jc w:val="left"/>
            </w:pPr>
            <w:r>
              <w:t xml:space="preserve">47 positions</w:t>
            </w:r>
          </w:p>
        </w:tc>
        <w:tc>
          <w:tcPr/>
          <w:p>
            <w:pPr>
              <w:pStyle w:val="Compact"/>
              <w:jc w:val="left"/>
            </w:pPr>
            <w:r>
              <w:t xml:space="preserve">32 positions</w:t>
            </w:r>
          </w:p>
        </w:tc>
        <w:tc>
          <w:tcPr/>
          <w:p>
            <w:pPr>
              <w:pStyle w:val="Compact"/>
              <w:jc w:val="left"/>
            </w:pPr>
            <w:r>
              <w:t xml:space="preserve">+46.9%</w:t>
            </w:r>
          </w:p>
        </w:tc>
      </w:tr>
      <w:tr>
        <w:tc>
          <w:tcPr/>
          <w:p>
            <w:pPr>
              <w:pStyle w:val="Compact"/>
              <w:jc w:val="left"/>
            </w:pPr>
            <w:r>
              <w:t xml:space="preserve">Average Placement Time (Days)</w:t>
            </w:r>
          </w:p>
        </w:tc>
        <w:tc>
          <w:tcPr/>
          <w:p>
            <w:pPr>
              <w:pStyle w:val="Compact"/>
              <w:jc w:val="left"/>
            </w:pPr>
            <w:r>
              <w:t xml:space="preserve">32 days</w:t>
            </w:r>
          </w:p>
        </w:tc>
        <w:tc>
          <w:tcPr/>
          <w:p>
            <w:pPr>
              <w:pStyle w:val="Compact"/>
              <w:jc w:val="left"/>
            </w:pPr>
            <w:r>
              <w:t xml:space="preserve">45 days</w:t>
            </w:r>
          </w:p>
        </w:tc>
        <w:tc>
          <w:tcPr/>
          <w:p>
            <w:pPr>
              <w:pStyle w:val="Compact"/>
              <w:jc w:val="left"/>
            </w:pPr>
            <w:r>
              <w:t xml:space="preserve">-28.9%</w:t>
            </w:r>
          </w:p>
        </w:tc>
      </w:tr>
      <w:tr>
        <w:tc>
          <w:tcPr/>
          <w:p>
            <w:pPr>
              <w:pStyle w:val="Compact"/>
              <w:jc w:val="left"/>
            </w:pPr>
            <w:r>
              <w:t xml:space="preserve">Client Satisfaction Rate</w:t>
            </w:r>
          </w:p>
        </w:tc>
        <w:tc>
          <w:tcPr/>
          <w:p>
            <w:pPr>
              <w:pStyle w:val="Compact"/>
              <w:jc w:val="left"/>
            </w:pPr>
            <w:r>
              <w:t xml:space="preserve">94.7%</w:t>
            </w:r>
          </w:p>
        </w:tc>
        <w:tc>
          <w:tcPr/>
          <w:p>
            <w:pPr>
              <w:pStyle w:val="Compact"/>
              <w:jc w:val="left"/>
            </w:pPr>
            <w:r>
              <w:t xml:space="preserve">88.2%</w:t>
            </w:r>
          </w:p>
        </w:tc>
        <w:tc>
          <w:tcPr/>
          <w:p>
            <w:pPr>
              <w:pStyle w:val="Compact"/>
              <w:jc w:val="left"/>
            </w:pPr>
            <w:r>
              <w:t xml:space="preserve">+6.5 percentage points</w:t>
            </w:r>
          </w:p>
        </w:tc>
      </w:tr>
      <w:tr>
        <w:tc>
          <w:tcPr/>
          <w:p>
            <w:pPr>
              <w:pStyle w:val="Compact"/>
              <w:jc w:val="left"/>
            </w:pPr>
            <w:r>
              <w:t xml:space="preserve">Total Revenue from Medical Researcher Placements</w:t>
            </w:r>
          </w:p>
        </w:tc>
        <w:tc>
          <w:tcPr/>
          <w:p>
            <w:pPr>
              <w:pStyle w:val="Compact"/>
              <w:jc w:val="left"/>
            </w:pPr>
            <w:r>
              <w:t xml:space="preserve">$1,275,000</w:t>
            </w:r>
          </w:p>
        </w:tc>
        <w:tc>
          <w:tcPr/>
          <w:p>
            <w:pPr>
              <w:pStyle w:val="Compact"/>
              <w:jc w:val="left"/>
            </w:pPr>
            <w:r>
              <w:t xml:space="preserve">$842,000</w:t>
            </w:r>
          </w:p>
        </w:tc>
        <w:tc>
          <w:tcPr/>
          <w:p>
            <w:pPr>
              <w:pStyle w:val="Compact"/>
              <w:jc w:val="left"/>
            </w:pPr>
            <w:r>
              <w:t xml:space="preserve">+51.4%</w:t>
            </w:r>
          </w:p>
        </w:tc>
      </w:tr>
    </w:tbl>
    <w:p>
      <w:pPr>
        <w:pStyle w:val="BodyText"/>
      </w:pPr>
      <w:r>
        <w:t xml:space="preserve">The data in this Sales Report demonstrates exceptional growth in our</w:t>
      </w:r>
      <w:r>
        <w:t xml:space="preserve"> </w:t>
      </w:r>
      <w:r>
        <w:rPr>
          <w:iCs/>
          <w:i/>
        </w:rPr>
        <w:t xml:space="preserve">Medical Researcher</w:t>
      </w:r>
      <w:r>
        <w:t xml:space="preserve"> </w:t>
      </w:r>
      <w:r>
        <w:t xml:space="preserve">recruitment services within</w:t>
      </w:r>
      <w:r>
        <w:t xml:space="preserve"> </w:t>
      </w:r>
      <w:r>
        <w:rPr>
          <w:bCs/>
          <w:b/>
        </w:rPr>
        <w:t xml:space="preserve">Russia Saint Petersburg</w:t>
      </w:r>
      <w:r>
        <w:t xml:space="preserve">. Notably, our accelerated placement timeline (down from 45 to 32 days) reflects strategic investments in localized candidate sourcing through partnerships with Saint Petersburg State University's Medical Faculty and the Russian Academy of Sciences. This efficiency directly addresses a critical pain point identified in client feedback: the lengthy time-to-hire for specialized medical research roles.</w:t>
      </w:r>
    </w:p>
    <w:bookmarkEnd w:id="21"/>
    <w:bookmarkStart w:id="22" w:name="X51f89d2ad5f7e6b4d658fd472d561b038e5c655"/>
    <w:p>
      <w:pPr>
        <w:pStyle w:val="Heading2"/>
      </w:pPr>
      <w:r>
        <w:t xml:space="preserve">Strategic Insights from Russia Saint Petersburg Market</w:t>
      </w:r>
    </w:p>
    <w:p>
      <w:pPr>
        <w:pStyle w:val="FirstParagraph"/>
      </w:pPr>
      <w:r>
        <w:t xml:space="preserve">Our Sales Report identifies three pivotal factors driving success in the Saint Petersburg medical research market:</w:t>
      </w:r>
    </w:p>
    <w:p>
      <w:pPr>
        <w:numPr>
          <w:ilvl w:val="0"/>
          <w:numId w:val="1001"/>
        </w:numPr>
        <w:pStyle w:val="Compact"/>
      </w:pPr>
      <w:r>
        <w:rPr>
          <w:bCs/>
          <w:b/>
        </w:rPr>
        <w:t xml:space="preserve">Cultural Alignment Requirements</w:t>
      </w:r>
      <w:r>
        <w:t xml:space="preserve">: Clients emphasize that successful</w:t>
      </w:r>
      <w:r>
        <w:t xml:space="preserve"> </w:t>
      </w:r>
      <w:r>
        <w:rPr>
          <w:iCs/>
          <w:i/>
        </w:rPr>
        <w:t xml:space="preserve">Medical Researcher</w:t>
      </w:r>
      <w:r>
        <w:t xml:space="preserve"> </w:t>
      </w:r>
      <w:r>
        <w:t xml:space="preserve">candidates must understand Russian regulatory frameworks (primarily Rospotrebnadzor approvals) and demonstrate fluency in technical Russian medical terminology. Our localized screening process, implemented specifically for</w:t>
      </w:r>
      <w:r>
        <w:t xml:space="preserve"> </w:t>
      </w:r>
      <w:r>
        <w:rPr>
          <w:bCs/>
          <w:b/>
        </w:rPr>
        <w:t xml:space="preserve">Russia Saint Petersburg</w:t>
      </w:r>
      <w:r>
        <w:t xml:space="preserve"> </w:t>
      </w:r>
      <w:r>
        <w:t xml:space="preserve">placements, has reduced post-placement turnover by 37%.</w:t>
      </w:r>
    </w:p>
    <w:p>
      <w:pPr>
        <w:numPr>
          <w:ilvl w:val="0"/>
          <w:numId w:val="1001"/>
        </w:numPr>
        <w:pStyle w:val="Compact"/>
      </w:pPr>
      <w:r>
        <w:rPr>
          <w:bCs/>
          <w:b/>
        </w:rPr>
        <w:t xml:space="preserve">Government-Industry Collaboration</w:t>
      </w:r>
      <w:r>
        <w:t xml:space="preserve">: The new "Medical Innovation Corridor" initiative in Saint Petersburg's Krasnogvardeysky district has created urgent demand for researchers with experience in EU clinical trial standards. Our Sales Report confirms that 68% of recent placements included this specialized qualification, positioning us as the preferred vendor for government-backed projects.</w:t>
      </w:r>
    </w:p>
    <w:p>
      <w:pPr>
        <w:numPr>
          <w:ilvl w:val="0"/>
          <w:numId w:val="1001"/>
        </w:numPr>
        <w:pStyle w:val="Compact"/>
      </w:pPr>
      <w:r>
        <w:rPr>
          <w:bCs/>
          <w:b/>
        </w:rPr>
        <w:t xml:space="preserve">Competitive Salary Benchmarking</w:t>
      </w:r>
      <w:r>
        <w:t xml:space="preserve">: Data reveals that competitive compensation packages remain the primary differentiator. In Saint Petersburg's market, Medical Researcher salaries now average 32% above national averages due to high demand for specialists. Our Sales Report details how we've implemented dynamic salary bands based on real-time Saint Petersburg market data from 15 major pharmaceutical employers.</w:t>
      </w:r>
    </w:p>
    <w:bookmarkEnd w:id="22"/>
    <w:bookmarkStart w:id="23" w:name="X60e4ad3aacb50194a7443e69cf32ee5e59fb890"/>
    <w:p>
      <w:pPr>
        <w:pStyle w:val="Heading2"/>
      </w:pPr>
      <w:r>
        <w:t xml:space="preserve">Geographic-Specific Challenges in Russia Saint Petersburg</w:t>
      </w:r>
    </w:p>
    <w:p>
      <w:pPr>
        <w:pStyle w:val="FirstParagraph"/>
      </w:pPr>
      <w:r>
        <w:t xml:space="preserve">Despite strong growth, our Sales Report identifies unique challenges requiring tailored solutions. The harsh Saint Petersburg climate and seasonal workforce fluctuations (particularly during winter months) impact research project continuity. Additionally, the city's concentration of research institutions creates a tight talent pool where top</w:t>
      </w:r>
      <w:r>
        <w:t xml:space="preserve"> </w:t>
      </w:r>
      <w:r>
        <w:rPr>
          <w:iCs/>
          <w:i/>
        </w:rPr>
        <w:t xml:space="preserve">Medical Researcher</w:t>
      </w:r>
      <w:r>
        <w:t xml:space="preserve"> </w:t>
      </w:r>
      <w:r>
        <w:t xml:space="preserve">candidates receive multiple offers within 72 hours. To overcome this, our Saint Petersburg-based recruitment team now operates a dedicated candidate engagement program featuring virtual lab tours and immediate compensation escalation protocols.</w:t>
      </w:r>
    </w:p>
    <w:bookmarkEnd w:id="23"/>
    <w:bookmarkStart w:id="24" w:name="X25209f07dc0d1c61add651d689c5d4e5d3fa8fa"/>
    <w:p>
      <w:pPr>
        <w:pStyle w:val="Heading2"/>
      </w:pPr>
      <w:r>
        <w:t xml:space="preserve">Strategic Recommendations for Future Sales Growth</w:t>
      </w:r>
    </w:p>
    <w:p>
      <w:pPr>
        <w:pStyle w:val="FirstParagraph"/>
      </w:pPr>
      <w:r>
        <w:t xml:space="preserve">Based on this comprehensive Sales Report, we recommend three action items to dominate the Medical Researcher recruitment market in</w:t>
      </w:r>
      <w:r>
        <w:t xml:space="preserve"> </w:t>
      </w:r>
      <w:r>
        <w:rPr>
          <w:bCs/>
          <w:b/>
        </w:rPr>
        <w:t xml:space="preserve">Russia Saint Petersburg</w:t>
      </w:r>
      <w:r>
        <w:t xml:space="preserve">:</w:t>
      </w:r>
    </w:p>
    <w:p>
      <w:pPr>
        <w:numPr>
          <w:ilvl w:val="0"/>
          <w:numId w:val="1002"/>
        </w:numPr>
        <w:pStyle w:val="Compact"/>
      </w:pPr>
      <w:r>
        <w:rPr>
          <w:bCs/>
          <w:b/>
        </w:rPr>
        <w:t xml:space="preserve">Expand University Partnerships</w:t>
      </w:r>
      <w:r>
        <w:t xml:space="preserve">: Establish formal agreements with Saint Petersburg's five top medical universities (including ITMO University's Medical Technology program) to create exclusive talent pipelines for our Medical Researcher roles. This addresses the 58% of clients citing "limited local candidate pools" as a major constraint.</w:t>
      </w:r>
    </w:p>
    <w:p>
      <w:pPr>
        <w:numPr>
          <w:ilvl w:val="0"/>
          <w:numId w:val="1002"/>
        </w:numPr>
        <w:pStyle w:val="Compact"/>
      </w:pPr>
      <w:r>
        <w:rPr>
          <w:bCs/>
          <w:b/>
        </w:rPr>
        <w:t xml:space="preserve">Develop AI-Driven Matching System</w:t>
      </w:r>
      <w:r>
        <w:t xml:space="preserve">: Implement a Saint Petersburg-specific recruitment algorithm that cross-references candidate skills with regional research priorities (e.g., tuberculosis, neurodegenerative diseases). Our pilot data shows this could reduce matching time by 40% while increasing quality-of-fit scores.</w:t>
      </w:r>
    </w:p>
    <w:p>
      <w:pPr>
        <w:numPr>
          <w:ilvl w:val="0"/>
          <w:numId w:val="1002"/>
        </w:numPr>
        <w:pStyle w:val="Compact"/>
      </w:pPr>
      <w:r>
        <w:rPr>
          <w:bCs/>
          <w:b/>
        </w:rPr>
        <w:t xml:space="preserve">Create Specialized Client Advisory Program</w:t>
      </w:r>
      <w:r>
        <w:t xml:space="preserve">: Launch a monthly "Saint Petersburg Medical Research Briefing" for pharmaceutical clients featuring market trends, regulatory updates from the Saint Petersburg Health Department, and competitor analysis. This directly addresses client requests documented in our Sales Report regarding lack of region-specific insights.</w:t>
      </w:r>
    </w:p>
    <w:bookmarkEnd w:id="24"/>
    <w:bookmarkStart w:id="25" w:name="Xfdd3de33fc161dfa4f5c59de2bc129b9879e691"/>
    <w:p>
      <w:pPr>
        <w:pStyle w:val="Heading2"/>
      </w:pPr>
      <w:r>
        <w:t xml:space="preserve">Conclusion: Cementing Leadership in Russia Saint Petersburg's Medical Research Market</w:t>
      </w:r>
    </w:p>
    <w:p>
      <w:pPr>
        <w:pStyle w:val="FirstParagraph"/>
      </w:pPr>
      <w:r>
        <w:t xml:space="preserve">This Sales Report unequivocally demonstrates that our Medical Researcher recruitment services have become indispensable to healthcare innovation in</w:t>
      </w:r>
      <w:r>
        <w:t xml:space="preserve"> </w:t>
      </w:r>
      <w:r>
        <w:rPr>
          <w:bCs/>
          <w:b/>
        </w:rPr>
        <w:t xml:space="preserve">Russia Saint Petersburg</w:t>
      </w:r>
      <w:r>
        <w:t xml:space="preserve">. The 51.4% revenue growth and 94.7% client satisfaction rate reflect not merely market demand, but the strategic value we deliver through hyper-localized expertise. As Saint Petersburg positions itself as Russia's primary medical research center under the "Science and Innovation Development Program," our ability to consistently place top-tier</w:t>
      </w:r>
      <w:r>
        <w:t xml:space="preserve"> </w:t>
      </w:r>
      <w:r>
        <w:rPr>
          <w:iCs/>
          <w:i/>
        </w:rPr>
        <w:t xml:space="preserve">Medical Researcher</w:t>
      </w:r>
      <w:r>
        <w:t xml:space="preserve"> </w:t>
      </w:r>
      <w:r>
        <w:t xml:space="preserve">talent will be critical to both client success and our own expansion goals.</w:t>
      </w:r>
    </w:p>
    <w:p>
      <w:pPr>
        <w:pStyle w:val="BodyText"/>
      </w:pPr>
      <w:r>
        <w:t xml:space="preserve">Moving forward, we will institutionalize the Saint Petersburg market intelligence framework outlined in this Sales Report across all regional operations. The unique requirements of Russia's second-largest city demand specialized solutions—solutions we have proven capable of delivering. Our commitment to excellence in Medical Researcher recruitment within</w:t>
      </w:r>
      <w:r>
        <w:t xml:space="preserve"> </w:t>
      </w:r>
      <w:r>
        <w:rPr>
          <w:bCs/>
          <w:b/>
        </w:rPr>
        <w:t xml:space="preserve">Russia Saint Petersburg</w:t>
      </w:r>
      <w:r>
        <w:t xml:space="preserve"> </w:t>
      </w:r>
      <w:r>
        <w:t xml:space="preserve">is not merely a business strategy; it is our contribution to accelerating medical breakthroughs that will impact global health outcomes.</w:t>
      </w:r>
    </w:p>
    <w:p>
      <w:pPr>
        <w:pStyle w:val="BodyText"/>
      </w:pPr>
      <w:r>
        <w:t xml:space="preserve">Prepared by Global Healthcare Talent Solutions | Q3 2023 Sales Intelligence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Russia Saint Petersburg</dc:title>
  <dc:creator/>
  <dc:language>en</dc:language>
  <cp:keywords/>
  <dcterms:created xsi:type="dcterms:W3CDTF">2026-07-24T22:49:06Z</dcterms:created>
  <dcterms:modified xsi:type="dcterms:W3CDTF">2026-07-24T22:49:06Z</dcterms:modified>
</cp:coreProperties>
</file>

<file path=docProps/custom.xml><?xml version="1.0" encoding="utf-8"?>
<Properties xmlns="http://schemas.openxmlformats.org/officeDocument/2006/custom-properties" xmlns:vt="http://schemas.openxmlformats.org/officeDocument/2006/docPropsVTypes"/>
</file>