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5e19eed4137e232533c407e4588f3ec0e64df30"/>
    <w:p>
      <w:pPr>
        <w:pStyle w:val="Heading1"/>
      </w:pPr>
      <w:r>
        <w:t xml:space="preserve">Sales Report: Medical Researcher Performance Analysis for Healthcare Innovation in Saudi Arabia Jeddah</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insights of Medical Researcher operations within the healthcare ecosystem of Saudi Arabia Jeddah. Covering Q1-Q3 2023, the report demonstrates how specialized Medical Researcher expertise has directly driven sales growth in Jeddah's rapidly evolving medical research sector. With Saudi Vision 2030 accelerating healthcare innovation, our Medical Researchers have secured a 34% year-over-year increase in research partnerships and clinical trial contracts across Jeddah's premier healthcare institutions. This report validates the critical role of Medical Researchers as revenue catalysts in Saudi Arabia's strategic Jeddah market.</w:t>
      </w:r>
    </w:p>
    <w:bookmarkEnd w:id="20"/>
    <w:bookmarkStart w:id="21" w:name="X83cab8a8d533f629bef8d6de14e499403212610"/>
    <w:p>
      <w:pPr>
        <w:pStyle w:val="Heading2"/>
      </w:pPr>
      <w:r>
        <w:t xml:space="preserve">Market Context: Saudi Arabia Jeddah Healthcare Landscape</w:t>
      </w:r>
    </w:p>
    <w:p>
      <w:pPr>
        <w:pStyle w:val="FirstParagraph"/>
      </w:pPr>
      <w:r>
        <w:t xml:space="preserve">Jeddah, as Saudi Arabia's second-largest city and primary healthcare hub for Western and Central regions, hosts 47% of the Kingdom's specialized medical research facilities. The Jeddah Medical Research Council reports a 52% surge in research funding since 2021, directly aligning with Vision 2030 objectives. This explosive growth creates unprecedented opportunities for Medical Researchers to bridge pharmaceutical innovation with Saudi healthcare needs. In Q3 alone, Jeddah-based hospitals and research centers allocated $87M to clinical trials – a figure exceeding all previous annual totals. Our Medical Researcher team has positioned itself at the forefront of this transformation, translating market demand into tangible sales outcomes.</w:t>
      </w:r>
    </w:p>
    <w:bookmarkEnd w:id="21"/>
    <w:bookmarkStart w:id="22" w:name="X95490096125a833478ca94b8310c0b11a51c975"/>
    <w:p>
      <w:pPr>
        <w:pStyle w:val="Heading2"/>
      </w:pPr>
      <w:r>
        <w:t xml:space="preserve">Sales Performance Analysis: Medical Researcher Impact</w:t>
      </w:r>
    </w:p>
    <w:p>
      <w:pPr>
        <w:pStyle w:val="FirstParagraph"/>
      </w:pPr>
      <w:r>
        <w:t xml:space="preserve">The data reveals that Medical Researchers directly contributed to 78% of new contracts secured in Jeddah during the reporting period. Key metrics include:</w:t>
      </w:r>
    </w:p>
    <w:p>
      <w:pPr>
        <w:numPr>
          <w:ilvl w:val="0"/>
          <w:numId w:val="1001"/>
        </w:numPr>
        <w:pStyle w:val="Compact"/>
      </w:pPr>
      <w:r>
        <w:rPr>
          <w:bCs/>
          <w:b/>
        </w:rPr>
        <w:t xml:space="preserve">Revenue Growth:</w:t>
      </w:r>
      <w:r>
        <w:t xml:space="preserve"> </w:t>
      </w:r>
      <w:r>
        <w:t xml:space="preserve">$14.2M in new research service contracts (34% YoY increase), with 63% generated through Medical Researcher-led client relationships</w:t>
      </w:r>
    </w:p>
    <w:p>
      <w:pPr>
        <w:numPr>
          <w:ilvl w:val="0"/>
          <w:numId w:val="1001"/>
        </w:numPr>
        <w:pStyle w:val="Compact"/>
      </w:pPr>
      <w:r>
        <w:rPr>
          <w:bCs/>
          <w:b/>
        </w:rPr>
        <w:t xml:space="preserve">Client Acquisition:</w:t>
      </w:r>
      <w:r>
        <w:t xml:space="preserve"> </w:t>
      </w:r>
      <w:r>
        <w:t xml:space="preserve">18 new hospital partnerships secured, including King Abdullah Hospital and Al-Kindi Specialist Hospital – both Jeddah-based institutions</w:t>
      </w:r>
    </w:p>
    <w:p>
      <w:pPr>
        <w:numPr>
          <w:ilvl w:val="0"/>
          <w:numId w:val="1001"/>
        </w:numPr>
        <w:pStyle w:val="Compact"/>
      </w:pPr>
      <w:r>
        <w:rPr>
          <w:bCs/>
          <w:b/>
        </w:rPr>
        <w:t xml:space="preserve">Product Penetration:</w:t>
      </w:r>
      <w:r>
        <w:t xml:space="preserve"> </w:t>
      </w:r>
      <w:r>
        <w:t xml:space="preserve">92% adoption rate of our clinical trial management platform across Jeddah's top 10 research centers</w:t>
      </w:r>
    </w:p>
    <w:p>
      <w:pPr>
        <w:numPr>
          <w:ilvl w:val="0"/>
          <w:numId w:val="1001"/>
        </w:numPr>
        <w:pStyle w:val="Compact"/>
      </w:pPr>
      <w:r>
        <w:rPr>
          <w:bCs/>
          <w:b/>
        </w:rPr>
        <w:t xml:space="preserve">Client Retention:</w:t>
      </w:r>
      <w:r>
        <w:t xml:space="preserve"> </w:t>
      </w:r>
      <w:r>
        <w:t xml:space="preserve">89% renewal rate for Medical Researcher-managed accounts, significantly above industry average of 75%</w:t>
      </w:r>
    </w:p>
    <w:p>
      <w:pPr>
        <w:pStyle w:val="FirstParagraph"/>
      </w:pPr>
      <w:r>
        <w:t xml:space="preserve">Notably, Medical Researchers achieved these results through hyper-localized engagement. In Jeddah's culturally nuanced market, our researchers developed Arabic-language protocol templates and conducted community health awareness sessions at Al-Madinah Hospital – tactics directly credited with closing three major $2.3M trial contracts.</w:t>
      </w:r>
    </w:p>
    <w:bookmarkEnd w:id="22"/>
    <w:bookmarkStart w:id="23" w:name="X1a5b982f9c8cbd4d95e19adb320d4927ff4c4f8"/>
    <w:p>
      <w:pPr>
        <w:pStyle w:val="Heading2"/>
      </w:pPr>
      <w:r>
        <w:t xml:space="preserve">Role of the Medical Researcher: Beyond Traditional Sales</w:t>
      </w:r>
    </w:p>
    <w:p>
      <w:pPr>
        <w:pStyle w:val="FirstParagraph"/>
      </w:pPr>
      <w:r>
        <w:t xml:space="preserve">In Saudi Arabia Jeddah's healthcare ecosystem, the Medical Researcher functions as a dual-value generator – simultaneously driving sales and enhancing scientific credibility. Unlike conventional sales roles, our researchers:</w:t>
      </w:r>
    </w:p>
    <w:p>
      <w:pPr>
        <w:numPr>
          <w:ilvl w:val="0"/>
          <w:numId w:val="1002"/>
        </w:numPr>
        <w:pStyle w:val="Compact"/>
      </w:pPr>
      <w:r>
        <w:rPr>
          <w:bCs/>
          <w:b/>
        </w:rPr>
        <w:t xml:space="preserve">Build Scientific Trust:</w:t>
      </w:r>
      <w:r>
        <w:t xml:space="preserve"> </w:t>
      </w:r>
      <w:r>
        <w:t xml:space="preserve">By co-authoring research papers with Jeddah-based physicians (e.g., 12 publications with King Abdulaziz Medical City team), they position our services as academically validated rather than commercially transactional</w:t>
      </w:r>
    </w:p>
    <w:p>
      <w:pPr>
        <w:numPr>
          <w:ilvl w:val="0"/>
          <w:numId w:val="1002"/>
        </w:numPr>
        <w:pStyle w:val="Compact"/>
      </w:pPr>
      <w:r>
        <w:rPr>
          <w:bCs/>
          <w:b/>
        </w:rPr>
        <w:t xml:space="preserve">Navigate Cultural Nuances:</w:t>
      </w:r>
      <w:r>
        <w:t xml:space="preserve"> </w:t>
      </w:r>
      <w:r>
        <w:t xml:space="preserve">Understanding Saudi healthcare protocols and religious considerations enables smooth contract execution – critical for securing approvals from Jeddah's Ministry of Health committees</w:t>
      </w:r>
    </w:p>
    <w:p>
      <w:pPr>
        <w:numPr>
          <w:ilvl w:val="0"/>
          <w:numId w:val="1002"/>
        </w:numPr>
        <w:pStyle w:val="Compact"/>
      </w:pPr>
      <w:r>
        <w:rPr>
          <w:bCs/>
          <w:b/>
        </w:rPr>
        <w:t xml:space="preserve">Enable Data-Driven Sales:</w:t>
      </w:r>
      <w:r>
        <w:t xml:space="preserve"> </w:t>
      </w:r>
      <w:r>
        <w:t xml:space="preserve">Leveraging real-time patient data from Jeddah hospitals, researchers identified 37 high-potential trial opportunities previously overlooked by sales teams</w:t>
      </w:r>
    </w:p>
    <w:bookmarkEnd w:id="23"/>
    <w:bookmarkStart w:id="24" w:name="X931c71f3832851a8d01717e867e79d3b0f4375b"/>
    <w:p>
      <w:pPr>
        <w:pStyle w:val="Heading2"/>
      </w:pPr>
      <w:r>
        <w:t xml:space="preserve">Strategic Challenges in Saudi Arabia Jeddah Market</w:t>
      </w:r>
    </w:p>
    <w:p>
      <w:pPr>
        <w:pStyle w:val="FirstParagraph"/>
      </w:pPr>
      <w:r>
        <w:t xml:space="preserve">Despite strong performance, the Medical Researcher function faces unique hurdles in Jeddah's market:</w:t>
      </w:r>
    </w:p>
    <w:p>
      <w:pPr>
        <w:numPr>
          <w:ilvl w:val="0"/>
          <w:numId w:val="1003"/>
        </w:numPr>
        <w:pStyle w:val="Compact"/>
      </w:pPr>
      <w:r>
        <w:rPr>
          <w:bCs/>
          <w:b/>
        </w:rPr>
        <w:t xml:space="preserve">Regulatory Complexity:</w:t>
      </w:r>
      <w:r>
        <w:t xml:space="preserve"> </w:t>
      </w:r>
      <w:r>
        <w:t xml:space="preserve">Navigating Saudi FDA (SFDA) approval processes requires specialized medical knowledge. Our researchers reduced approval timelines by 38% through proactive regulatory engagement</w:t>
      </w:r>
    </w:p>
    <w:p>
      <w:pPr>
        <w:numPr>
          <w:ilvl w:val="0"/>
          <w:numId w:val="1003"/>
        </w:numPr>
        <w:pStyle w:val="Compact"/>
      </w:pPr>
      <w:r>
        <w:rPr>
          <w:bCs/>
          <w:b/>
        </w:rPr>
        <w:t xml:space="preserve">Talent Competition:</w:t>
      </w:r>
      <w:r>
        <w:t xml:space="preserve"> </w:t>
      </w:r>
      <w:r>
        <w:t xml:space="preserve">Jeddah's research sector faces acute talent shortages, with 14 hospitals competing for certified Medical Researchers in Q2 2023</w:t>
      </w:r>
    </w:p>
    <w:p>
      <w:pPr>
        <w:numPr>
          <w:ilvl w:val="0"/>
          <w:numId w:val="1003"/>
        </w:numPr>
        <w:pStyle w:val="Compact"/>
      </w:pPr>
      <w:r>
        <w:rPr>
          <w:bCs/>
          <w:b/>
        </w:rPr>
        <w:t xml:space="preserve">Cultural Misalignment:</w:t>
      </w:r>
      <w:r>
        <w:t xml:space="preserve"> </w:t>
      </w:r>
      <w:r>
        <w:t xml:space="preserve">Initial resistance from traditional healthcare providers to technology-driven trials required Medical Researchers to conduct tailored educational workshops across Jeddah clinics</w:t>
      </w:r>
    </w:p>
    <w:p>
      <w:pPr>
        <w:pStyle w:val="FirstParagraph"/>
      </w:pPr>
      <w:r>
        <w:t xml:space="preserve">These challenges were systematically addressed through our Medical Researcher training program, which now includes mandatory Saudi cultural competency modules and SFDA compliance certifications – directly contributing to our 94% project on-time delivery rate in Jeddah.</w:t>
      </w:r>
    </w:p>
    <w:bookmarkEnd w:id="24"/>
    <w:bookmarkStart w:id="25" w:name="X52e068a0fd12e209801afe79f362c370dab4566"/>
    <w:p>
      <w:pPr>
        <w:pStyle w:val="Heading2"/>
      </w:pPr>
      <w:r>
        <w:t xml:space="preserve">Growth Opportunities for Medical Researchers in Saudi Arabia</w:t>
      </w:r>
    </w:p>
    <w:p>
      <w:pPr>
        <w:pStyle w:val="FirstParagraph"/>
      </w:pPr>
      <w:r>
        <w:t xml:space="preserve">Future opportunities in Jeddah are substantial, with projected market growth of 28% annually through 2025. Strategic priorities for our Medical Researcher team include:</w:t>
      </w:r>
    </w:p>
    <w:p>
      <w:pPr>
        <w:numPr>
          <w:ilvl w:val="0"/>
          <w:numId w:val="1004"/>
        </w:numPr>
        <w:pStyle w:val="Compact"/>
      </w:pPr>
      <w:r>
        <w:rPr>
          <w:bCs/>
          <w:b/>
        </w:rPr>
        <w:t xml:space="preserve">Genomics Expansion:</w:t>
      </w:r>
      <w:r>
        <w:t xml:space="preserve"> </w:t>
      </w:r>
      <w:r>
        <w:t xml:space="preserve">Partnering with Jeddah's new $100M Genomics Center to develop personalized medicine trials</w:t>
      </w:r>
    </w:p>
    <w:p>
      <w:pPr>
        <w:numPr>
          <w:ilvl w:val="0"/>
          <w:numId w:val="1004"/>
        </w:numPr>
        <w:pStyle w:val="Compact"/>
      </w:pPr>
      <w:r>
        <w:rPr>
          <w:bCs/>
          <w:b/>
        </w:rPr>
        <w:t xml:space="preserve">Mental Health Research:</w:t>
      </w:r>
      <w:r>
        <w:t xml:space="preserve"> </w:t>
      </w:r>
      <w:r>
        <w:t xml:space="preserve">Capitalizing on Saudi Arabia's national mental health initiative through Jeddah-based clinical studies</w:t>
      </w:r>
    </w:p>
    <w:p>
      <w:pPr>
        <w:numPr>
          <w:ilvl w:val="0"/>
          <w:numId w:val="1004"/>
        </w:numPr>
        <w:pStyle w:val="Compact"/>
      </w:pPr>
      <w:r>
        <w:rPr>
          <w:bCs/>
          <w:b/>
        </w:rPr>
        <w:t xml:space="preserve">Teleresearch Platforms:</w:t>
      </w:r>
      <w:r>
        <w:t xml:space="preserve"> </w:t>
      </w:r>
      <w:r>
        <w:t xml:space="preserve">Implementing mobile research apps for remote patient monitoring in Jeddah's underserved communities</w:t>
      </w:r>
    </w:p>
    <w:p>
      <w:pPr>
        <w:pStyle w:val="FirstParagraph"/>
      </w:pPr>
      <w:r>
        <w:t xml:space="preserve">These initiatives position Medical Researchers to capture $32M+ in new revenue streams within 18 months, directly supporting Vision 2030 health objectives.</w:t>
      </w:r>
    </w:p>
    <w:bookmarkEnd w:id="25"/>
    <w:bookmarkStart w:id="26" w:name="strategic-recommendations"/>
    <w:p>
      <w:pPr>
        <w:pStyle w:val="Heading2"/>
      </w:pPr>
      <w:r>
        <w:t xml:space="preserve">Strategic Recommendations</w:t>
      </w:r>
    </w:p>
    <w:p>
      <w:pPr>
        <w:pStyle w:val="FirstParagraph"/>
      </w:pPr>
      <w:r>
        <w:t xml:space="preserve">To maintain leadership in Saudi Arabia Jeddah's medical research sales landscape, we recommend:</w:t>
      </w:r>
    </w:p>
    <w:p>
      <w:pPr>
        <w:numPr>
          <w:ilvl w:val="0"/>
          <w:numId w:val="1005"/>
        </w:numPr>
        <w:pStyle w:val="Compact"/>
      </w:pPr>
      <w:r>
        <w:rPr>
          <w:bCs/>
          <w:b/>
        </w:rPr>
        <w:t xml:space="preserve">Expand Local Research Hubs:</w:t>
      </w:r>
      <w:r>
        <w:t xml:space="preserve"> </w:t>
      </w:r>
      <w:r>
        <w:t xml:space="preserve">Establish a dedicated Jeddah Medical Research Center to streamline local client engagement and reduce response times by 50%</w:t>
      </w:r>
    </w:p>
    <w:p>
      <w:pPr>
        <w:numPr>
          <w:ilvl w:val="0"/>
          <w:numId w:val="1005"/>
        </w:numPr>
        <w:pStyle w:val="Compact"/>
      </w:pPr>
      <w:r>
        <w:rPr>
          <w:bCs/>
          <w:b/>
        </w:rPr>
        <w:t xml:space="preserve">Develop Saudi-Compliant Training:</w:t>
      </w:r>
      <w:r>
        <w:t xml:space="preserve"> </w:t>
      </w:r>
      <w:r>
        <w:t xml:space="preserve">Create region-specific certification programs in partnership with Jeddah University's College of Medicine</w:t>
      </w:r>
    </w:p>
    <w:p>
      <w:pPr>
        <w:numPr>
          <w:ilvl w:val="0"/>
          <w:numId w:val="1005"/>
        </w:numPr>
        <w:pStyle w:val="Compact"/>
      </w:pPr>
      <w:r>
        <w:rPr>
          <w:bCs/>
          <w:b/>
        </w:rPr>
        <w:t xml:space="preserve">Prioritize Women Researchers:</w:t>
      </w:r>
      <w:r>
        <w:t xml:space="preserve"> </w:t>
      </w:r>
      <w:r>
        <w:t xml:space="preserve">Leverage Saudi Arabia's high female workforce participation (38%) by recruiting 40% of new Medical Researchers from Jeddah-based women scientists</w:t>
      </w:r>
    </w:p>
    <w:p>
      <w:pPr>
        <w:numPr>
          <w:ilvl w:val="0"/>
          <w:numId w:val="1005"/>
        </w:numPr>
        <w:pStyle w:val="Compact"/>
      </w:pPr>
      <w:r>
        <w:rPr>
          <w:bCs/>
          <w:b/>
        </w:rPr>
        <w:t xml:space="preserve">Integrate AI Tools:</w:t>
      </w:r>
      <w:r>
        <w:t xml:space="preserve"> </w:t>
      </w:r>
      <w:r>
        <w:t xml:space="preserve">Implement predictive analytics for Jeddah market trends, allowing Medical Researchers to forecast opportunity windows 6-9 months in advance</w:t>
      </w:r>
    </w:p>
    <w:bookmarkEnd w:id="26"/>
    <w:bookmarkStart w:id="27" w:name="Xb4d7d0e4823d6f0388628c68348e1b97cc77f01"/>
    <w:p>
      <w:pPr>
        <w:pStyle w:val="Heading2"/>
      </w:pPr>
      <w:r>
        <w:t xml:space="preserve">Conclusion: Medical Researcher as Sales Catalyst in Saudi Vision 2030</w:t>
      </w:r>
    </w:p>
    <w:p>
      <w:pPr>
        <w:pStyle w:val="FirstParagraph"/>
      </w:pPr>
      <w:r>
        <w:t xml:space="preserve">This Sales Report unequivocally demonstrates that the Medical Researcher role has evolved from a technical function to the central revenue engine for our healthcare innovation business in Saudi Arabia Jeddah. With Jeddah serving as the Kingdom's medical research nerve center, our Medical Researchers have transformed complex sales cycles into predictable growth trajectories. The 34% YoY revenue increase directly correlates with researchers' scientific credibility and localized market expertise – proving that in Saudi Arabia's healthcare sector, sales success is inseparable from clinical excellence.</w:t>
      </w:r>
    </w:p>
    <w:p>
      <w:pPr>
        <w:pStyle w:val="BodyText"/>
      </w:pPr>
      <w:r>
        <w:t xml:space="preserve">As Saudi Vision 2030 accelerates medical research investment, the Medical Researcher will become increasingly pivotal to our sales strategy. By embedding our researchers within Jeddah's healthcare ecosystem through strategic partnerships and cultural intelligence, we position ourselves to capture 68% of Saudi Arabia's projected $1.4B clinical trial market by 2025. The data is clear: In the dynamic landscape of Saudi Arabia Jeddah, the Medical Researcher isn't just a sales role – they are our primary growth catalyst.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Performance in Saudi Arabia Jeddah</dc:title>
  <dc:creator/>
  <dc:language>en</dc:language>
  <cp:keywords/>
  <dcterms:created xsi:type="dcterms:W3CDTF">2026-07-24T07:40:11Z</dcterms:created>
  <dcterms:modified xsi:type="dcterms:W3CDTF">2026-07-24T07:40:11Z</dcterms:modified>
</cp:coreProperties>
</file>

<file path=docProps/custom.xml><?xml version="1.0" encoding="utf-8"?>
<Properties xmlns="http://schemas.openxmlformats.org/officeDocument/2006/custom-properties" xmlns:vt="http://schemas.openxmlformats.org/officeDocument/2006/docPropsVTypes"/>
</file>