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7a4aaecb7a8e465f966bcf23ec986d1fce331f8"/>
    <w:p>
      <w:pPr>
        <w:pStyle w:val="Heading1"/>
      </w:pPr>
      <w:r>
        <w:t xml:space="preserve">Sales Report: Strategic Impact of Medical Researcher Excellence in Saudi Arabia Riyadh Market</w:t>
      </w:r>
    </w:p>
    <w:bookmarkStart w:id="20" w:name="executive-summary"/>
    <w:p>
      <w:pPr>
        <w:pStyle w:val="Heading2"/>
      </w:pPr>
      <w:r>
        <w:t xml:space="preserve">Executive Summary</w:t>
      </w:r>
    </w:p>
    <w:p>
      <w:pPr>
        <w:pStyle w:val="FirstParagraph"/>
      </w:pPr>
      <w:r>
        <w:t xml:space="preserve">This comprehensive Sales Report details the critical role of the Medical Researcher position within our operational framework across Saudi Arabia, with particular emphasis on Riyadh's burgeoning healthcare ecosystem. As the Kingdom advances its Vision 2030 healthcare transformation, this report demonstrates how strategic deployment of skilled Medical Researchers has directly driven sales growth, client acquisition, and market leadership in Riyadh. The findings confirm that investment in specialized Medical Researcher talent is not merely operational but a core sales catalyst for our organization's expansion across Saudi Arabia.</w:t>
      </w:r>
    </w:p>
    <w:bookmarkEnd w:id="20"/>
    <w:bookmarkStart w:id="21" w:name="X7ac2fc39e000acca670f03c86eea7aee15f9dd5"/>
    <w:p>
      <w:pPr>
        <w:pStyle w:val="Heading2"/>
      </w:pPr>
      <w:r>
        <w:t xml:space="preserve">Market Context: Riyadh's Healthcare Transformation</w:t>
      </w:r>
    </w:p>
    <w:p>
      <w:pPr>
        <w:pStyle w:val="FirstParagraph"/>
      </w:pPr>
      <w:r>
        <w:t xml:space="preserve">Riyadh stands as the epicenter of Saudi Arabia's healthcare revolution, with the Ministry of Health allocating over SAR 50 billion annually to modernize facilities and accelerate medical innovation. This investment has created unprecedented demand for high-caliber Medical Researcher talent capable of navigating Saudi regulatory frameworks while delivering clinically significant outcomes. Our Sales Report data reveals that 78% of pharmaceutical companies and research institutions in Riyadh now prioritize partners with in-house Medical Researchers – a metric that has directly elevated our competitive positioning. The convergence of Vision 2030's health sector goals and Riyadh's status as the Kingdom's primary healthcare hub makes this market uniquely ripe for Medical Researcher-driven sales strategies.</w:t>
      </w:r>
    </w:p>
    <w:bookmarkEnd w:id="21"/>
    <w:bookmarkStart w:id="22" w:name="X95490096125a833478ca94b8310c0b11a51c975"/>
    <w:p>
      <w:pPr>
        <w:pStyle w:val="Heading2"/>
      </w:pPr>
      <w:r>
        <w:t xml:space="preserve">Sales Performance Analysis: Medical Researcher Impact</w:t>
      </w:r>
    </w:p>
    <w:p>
      <w:pPr>
        <w:pStyle w:val="FirstParagraph"/>
      </w:pPr>
      <w:r>
        <w:t xml:space="preserve">Our Q1-Q3 2023 Sales Report demonstrates a direct correlation between specialized Medical Researcher deployment and revenue growth in Riyadh. Key metrics include:</w:t>
      </w:r>
    </w:p>
    <w:p>
      <w:pPr>
        <w:numPr>
          <w:ilvl w:val="0"/>
          <w:numId w:val="1001"/>
        </w:numPr>
        <w:pStyle w:val="Compact"/>
      </w:pPr>
      <w:r>
        <w:rPr>
          <w:bCs/>
          <w:b/>
        </w:rPr>
        <w:t xml:space="preserve">47% Increase in Contract Wins</w:t>
      </w:r>
      <w:r>
        <w:t xml:space="preserve">: Projects involving dedicated Medical Researchers secured 47% more contracts compared to those without, with the average deal size increasing by SAR 1.2 million.</w:t>
      </w:r>
    </w:p>
    <w:p>
      <w:pPr>
        <w:numPr>
          <w:ilvl w:val="0"/>
          <w:numId w:val="1001"/>
        </w:numPr>
        <w:pStyle w:val="Compact"/>
      </w:pPr>
      <w:r>
        <w:rPr>
          <w:bCs/>
          <w:b/>
        </w:rPr>
        <w:t xml:space="preserve">Client Retention Surge</w:t>
      </w:r>
      <w:r>
        <w:t xml:space="preserve">: Clients retaining Medical Researcher support showed 63% higher renewal rates, directly attributed to data-driven insights from clinical research that informed product development and market strategy.</w:t>
      </w:r>
    </w:p>
    <w:p>
      <w:pPr>
        <w:numPr>
          <w:ilvl w:val="0"/>
          <w:numId w:val="1001"/>
        </w:numPr>
        <w:pStyle w:val="Compact"/>
      </w:pPr>
      <w:r>
        <w:t xml:space="preserve">Market Expansion Velocity</w:t>
      </w:r>
    </w:p>
    <w:p>
      <w:pPr>
        <w:numPr>
          <w:ilvl w:val="0"/>
          <w:numId w:val="1000"/>
        </w:numPr>
        <w:pStyle w:val="Compact"/>
      </w:pPr>
      <w:r>
        <w:t xml:space="preserve">: Each Medical Researcher in Riyadh accelerated our entry into new therapeutic areas by 42%, enabling rapid response to Saudi Ministry of Health priorities like oncology and diabetes management.</w:t>
      </w:r>
    </w:p>
    <w:p>
      <w:pPr>
        <w:pStyle w:val="FirstParagraph"/>
      </w:pPr>
      <w:r>
        <w:t xml:space="preserve">Notably, 92% of our largest clients in Riyadh (including King Fahad Medical City and National Guard Hospitals) explicitly cited the caliber of their assigned Medical Researcher as a decisive factor in contract awarding. This validates that the role transcends technical execution to become a strategic sales asset – transforming research capabilities into revenue streams.</w:t>
      </w:r>
    </w:p>
    <w:bookmarkEnd w:id="22"/>
    <w:bookmarkStart w:id="23" w:name="X814e9c4aa5507b257548e603db256cfb25df621"/>
    <w:p>
      <w:pPr>
        <w:pStyle w:val="Heading2"/>
      </w:pPr>
      <w:r>
        <w:t xml:space="preserve">Case Study: Oncology Research Initiative in Riyadh</w:t>
      </w:r>
    </w:p>
    <w:p>
      <w:pPr>
        <w:pStyle w:val="FirstParagraph"/>
      </w:pPr>
      <w:r>
        <w:t xml:space="preserve">A recent flagship project exemplifies this synergy. Our Medical Researcher team in Riyadh partnered with a major Saudi pharmaceutical firm to conduct Phase III trials for a novel cancer treatment. The Medical Researcher's expertise in navigating the Saudi Food and Drug Authority (SFDA) protocols and local epidemiological data directly influenced our sales pitch, resulting in:</w:t>
      </w:r>
    </w:p>
    <w:p>
      <w:pPr>
        <w:numPr>
          <w:ilvl w:val="0"/>
          <w:numId w:val="1002"/>
        </w:numPr>
        <w:pStyle w:val="Compact"/>
      </w:pPr>
      <w:r>
        <w:rPr>
          <w:bCs/>
          <w:b/>
        </w:rPr>
        <w:t xml:space="preserve">Competitive Advantage</w:t>
      </w:r>
      <w:r>
        <w:t xml:space="preserve">: 37% faster regulatory approval timeline versus industry average</w:t>
      </w:r>
    </w:p>
    <w:p>
      <w:pPr>
        <w:numPr>
          <w:ilvl w:val="0"/>
          <w:numId w:val="1002"/>
        </w:numPr>
        <w:pStyle w:val="Compact"/>
      </w:pPr>
      <w:r>
        <w:rPr>
          <w:bCs/>
          <w:b/>
        </w:rPr>
        <w:t xml:space="preserve">Client Trust Building</w:t>
      </w:r>
      <w:r>
        <w:t xml:space="preserve">: Customized research proposals addressing Saudi-specific cancer prevalence patterns (e.g., rising incidence of pancreatic cancer in Eastern regions)</w:t>
      </w:r>
    </w:p>
    <w:p>
      <w:pPr>
        <w:numPr>
          <w:ilvl w:val="0"/>
          <w:numId w:val="1002"/>
        </w:numPr>
        <w:pStyle w:val="Compact"/>
      </w:pPr>
      <w:r>
        <w:rPr>
          <w:bCs/>
          <w:b/>
        </w:rPr>
        <w:t xml:space="preserve">Sales Conversion Impact</w:t>
      </w:r>
      <w:r>
        <w:t xml:space="preserve">: Secured SAR 8.5 million contract with 27% higher margin than standard projects</w:t>
      </w:r>
    </w:p>
    <w:p>
      <w:pPr>
        <w:pStyle w:val="FirstParagraph"/>
      </w:pPr>
      <w:r>
        <w:t xml:space="preserve">This initiative generated direct sales revenue while positioning us for follow-on contracts in Saudi Arabia's expanding oncology market, a clear demonstration of how Medical Researcher capabilities fuel the sales pipeline.</w:t>
      </w:r>
    </w:p>
    <w:bookmarkEnd w:id="23"/>
    <w:bookmarkStart w:id="24" w:name="X2b7874772efd5c0cdd080e6ff8093a4750b383a"/>
    <w:p>
      <w:pPr>
        <w:pStyle w:val="Heading2"/>
      </w:pPr>
      <w:r>
        <w:t xml:space="preserve">Strategic Imperatives for Saudi Arabia Riyadh Market</w:t>
      </w:r>
    </w:p>
    <w:p>
      <w:pPr>
        <w:pStyle w:val="FirstParagraph"/>
      </w:pPr>
      <w:r>
        <w:t xml:space="preserve">Our Sales Report identifies three non-negotiable priorities to maintain momentum in Riyadh:</w:t>
      </w:r>
    </w:p>
    <w:p>
      <w:pPr>
        <w:numPr>
          <w:ilvl w:val="0"/>
          <w:numId w:val="1003"/>
        </w:numPr>
        <w:pStyle w:val="Compact"/>
      </w:pPr>
      <w:r>
        <w:rPr>
          <w:bCs/>
          <w:b/>
        </w:rPr>
        <w:t xml:space="preserve">Cultural Intelligence Integration</w:t>
      </w:r>
      <w:r>
        <w:t xml:space="preserve">: Medical Researchers must master local healthcare dynamics, including religious considerations in clinical trials and Arabic medical terminology. We've implemented mandatory Saudi cultural immersion training, reducing client onboarding time by 33%.</w:t>
      </w:r>
    </w:p>
    <w:p>
      <w:pPr>
        <w:numPr>
          <w:ilvl w:val="0"/>
          <w:numId w:val="1003"/>
        </w:numPr>
        <w:pStyle w:val="Compact"/>
      </w:pPr>
      <w:r>
        <w:rPr>
          <w:bCs/>
          <w:b/>
        </w:rPr>
        <w:t xml:space="preserve">Regulatory Agility</w:t>
      </w:r>
      <w:r>
        <w:t xml:space="preserve">: With the Saudi Ministry of Health's new 2024 research guidelines, Medical Researchers now serve as our primary regulatory liaison. This has prevented potential sales delays for 10+ critical projects in Riyadh.</w:t>
      </w:r>
    </w:p>
    <w:p>
      <w:pPr>
        <w:numPr>
          <w:ilvl w:val="0"/>
          <w:numId w:val="1003"/>
        </w:numPr>
        <w:pStyle w:val="Compact"/>
      </w:pPr>
      <w:r>
        <w:rPr>
          <w:bCs/>
          <w:b/>
        </w:rPr>
        <w:t xml:space="preserve">Tech-Enabled Research Platforms</w:t>
      </w:r>
      <w:r>
        <w:t xml:space="preserve">: Investment in AI-driven data analytics tools co-developed by our Riyadh-based Medical Researchers accelerated market insights, enabling proactive sales targeting of emerging opportunities like telehealth research partnerships.</w:t>
      </w:r>
    </w:p>
    <w:bookmarkEnd w:id="24"/>
    <w:bookmarkStart w:id="25" w:name="challenges-and-future-roadmap"/>
    <w:p>
      <w:pPr>
        <w:pStyle w:val="Heading2"/>
      </w:pPr>
      <w:r>
        <w:t xml:space="preserve">Challenges and Future Roadmap</w:t>
      </w:r>
    </w:p>
    <w:p>
      <w:pPr>
        <w:pStyle w:val="FirstParagraph"/>
      </w:pPr>
      <w:r>
        <w:t xml:space="preserve">Despite strong performance, our Sales Report identifies two critical challenges:</w:t>
      </w:r>
    </w:p>
    <w:p>
      <w:pPr>
        <w:numPr>
          <w:ilvl w:val="0"/>
          <w:numId w:val="1004"/>
        </w:numPr>
        <w:pStyle w:val="Compact"/>
      </w:pPr>
      <w:r>
        <w:rPr>
          <w:bCs/>
          <w:b/>
        </w:rPr>
        <w:t xml:space="preserve">Talent Retention Pressure</w:t>
      </w:r>
      <w:r>
        <w:t xml:space="preserve">: Riyadh's competitive job market for Medical Researchers requires 18% higher compensation packages versus national averages. Our retention rate is now at 89% (vs. industry 76%), but we must intensify development programs.</w:t>
      </w:r>
    </w:p>
    <w:p>
      <w:pPr>
        <w:numPr>
          <w:ilvl w:val="0"/>
          <w:numId w:val="1004"/>
        </w:numPr>
        <w:pStyle w:val="Compact"/>
      </w:pPr>
      <w:r>
        <w:rPr>
          <w:bCs/>
          <w:b/>
        </w:rPr>
        <w:t xml:space="preserve">Clinical Data Localization</w:t>
      </w:r>
      <w:r>
        <w:t xml:space="preserve">: Saudi Arabia mandates local data storage for all healthcare research, requiring significant infrastructure investment. Medical Researchers are leading this transition to ensure sales-ready compliance.</w:t>
      </w:r>
    </w:p>
    <w:p>
      <w:pPr>
        <w:pStyle w:val="FirstParagraph"/>
      </w:pPr>
      <w:r>
        <w:t xml:space="preserve">Our 2024 roadmap prioritizes:</w:t>
      </w:r>
    </w:p>
    <w:p>
      <w:pPr>
        <w:numPr>
          <w:ilvl w:val="0"/>
          <w:numId w:val="1005"/>
        </w:numPr>
        <w:pStyle w:val="Compact"/>
      </w:pPr>
      <w:r>
        <w:t xml:space="preserve">Establishing a dedicated Riyadh Medical Researcher Academy with King Saud University</w:t>
      </w:r>
    </w:p>
    <w:p>
      <w:pPr>
        <w:numPr>
          <w:ilvl w:val="0"/>
          <w:numId w:val="1005"/>
        </w:numPr>
        <w:pStyle w:val="Compact"/>
      </w:pPr>
      <w:r>
        <w:t xml:space="preserve">Deploying AI tools to predict Saudi market trends, directly feeding sales forecasts</w:t>
      </w:r>
    </w:p>
    <w:p>
      <w:pPr>
        <w:numPr>
          <w:ilvl w:val="0"/>
          <w:numId w:val="1005"/>
        </w:numPr>
        <w:pStyle w:val="Compact"/>
      </w:pPr>
      <w:r>
        <w:t xml:space="preserve">Expanding the Medical Researcher team by 40% in Riyadh to capture emerging health initiatives under Vision 2030</w:t>
      </w:r>
    </w:p>
    <w:bookmarkEnd w:id="25"/>
    <w:bookmarkStart w:id="26" w:name="X7972407139c4c2d084a30b4a02d6149a8cdc5c7"/>
    <w:p>
      <w:pPr>
        <w:pStyle w:val="Heading2"/>
      </w:pPr>
      <w:r>
        <w:t xml:space="preserve">Conclusion: Medical Researcher as Strategic Sales Catalyst</w:t>
      </w:r>
    </w:p>
    <w:p>
      <w:pPr>
        <w:pStyle w:val="FirstParagraph"/>
      </w:pPr>
      <w:r>
        <w:t xml:space="preserve">This Sales Report unequivocally establishes that the Medical Researcher is not a support function but the cornerstone of our commercial success in Saudi Arabia Riyadh. The data is clear: every skilled Medical Researcher deployed in our Riyadh operations directly correlates with higher contract values, faster sales cycles, and stronger client relationships. As Saudi Arabia accelerates its healthcare transformation through Vision 2030, the strategic integration of Medical Researcher capabilities into sales processes isn't just beneficial – it's the fundamental driver of market leadership.</w:t>
      </w:r>
    </w:p>
    <w:p>
      <w:pPr>
        <w:pStyle w:val="BodyText"/>
      </w:pPr>
      <w:r>
        <w:t xml:space="preserve">We recommend maintaining a 1:8 Medical Researcher-to-sales-representative ratio in Riyadh, with continued investment in localized research infrastructure. The ROI on this investment is quantifiable: for every SAR 1 invested in Medical Researcher development, we secure an average of SAR 4.2 in new revenue streams within Saudi Arabia's premium healthcare market. This model has positioned us to capture over 32% of the Riyadh medical research services market – a figure that directly stems from our commitment to leveraging the Medical Researcher role as a sales engine.</w:t>
      </w:r>
    </w:p>
    <w:p>
      <w:pPr>
        <w:pStyle w:val="BodyText"/>
      </w:pPr>
      <w:r>
        <w:t xml:space="preserve">As we look toward 2025, we will continue to champion the Medical Researcher not as an operational resource, but as Saudi Arabia's premier strategic sales asset in Riyadh. This focus ensures sustainable growth in one of the world's most dynamic healthcare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Saudi Arabia Riyadh</dc:title>
  <dc:creator/>
  <dc:language>en</dc:language>
  <cp:keywords/>
  <dcterms:created xsi:type="dcterms:W3CDTF">2026-07-23T23:31:07Z</dcterms:created>
  <dcterms:modified xsi:type="dcterms:W3CDTF">2026-07-23T23:31:07Z</dcterms:modified>
</cp:coreProperties>
</file>

<file path=docProps/custom.xml><?xml version="1.0" encoding="utf-8"?>
<Properties xmlns="http://schemas.openxmlformats.org/officeDocument/2006/custom-properties" xmlns:vt="http://schemas.openxmlformats.org/officeDocument/2006/docPropsVTypes"/>
</file>