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2a3ecc79583b5dfb252a78277491f02f7222cf7"/>
    <w:p>
      <w:pPr>
        <w:pStyle w:val="Heading1"/>
      </w:pPr>
      <w:r>
        <w:t xml:space="preserve">Sales Report: Medical Researcher Services Performance &amp; Strategic Outlook for Singapore Singapore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our medical research services division across Singapore Singapore, highlighting exceptional growth in demand for specialized Medical Researcher expertise. The quarter concluded with a 37% year-over-year revenue increase, driven by strategic partnerships with leading pharmaceutical firms and biotechnology innovators operating within Singapore's thriving life sciences ecosystem. Notably, our Medical Researcher recruitment and consulting services achieved a record 108% of annual sales targets in Singapore Singapore, underscoring the critical role of qualified medical researchers in accelerating clinical trials and therapeutic development across Southeast Asia.</w:t>
      </w:r>
    </w:p>
    <w:bookmarkEnd w:id="20"/>
    <w:bookmarkStart w:id="21" w:name="X860ac97ed8613831d23c8a0e965ec9075c35afb"/>
    <w:p>
      <w:pPr>
        <w:pStyle w:val="Heading2"/>
      </w:pPr>
      <w:r>
        <w:t xml:space="preserve">II. Sales Performance Breakdown: Medical Researcher Services</w:t>
      </w:r>
    </w:p>
    <w:p>
      <w:pPr>
        <w:pStyle w:val="FirstParagraph"/>
      </w:pPr>
      <w:r>
        <w:rPr>
          <w:bCs/>
          <w:b/>
        </w:rPr>
        <w:t xml:space="preserve">A. Revenue Streams:</w:t>
      </w:r>
      <w:r>
        <w:t xml:space="preserve"> </w:t>
      </w:r>
      <w:r>
        <w:t xml:space="preserve">Our core medical research services generated S$8.7 million in Q3, representing 63% of total company revenue in Singapore Singapore. This includes:</w:t>
      </w:r>
    </w:p>
    <w:p>
      <w:pPr>
        <w:numPr>
          <w:ilvl w:val="0"/>
          <w:numId w:val="1001"/>
        </w:numPr>
        <w:pStyle w:val="Compact"/>
      </w:pPr>
      <w:r>
        <w:rPr>
          <w:iCs/>
          <w:i/>
        </w:rPr>
        <w:t xml:space="preserve">Medical Researcher Recruitment (42%):</w:t>
      </w:r>
      <w:r>
        <w:t xml:space="preserve"> </w:t>
      </w:r>
      <w:r>
        <w:t xml:space="preserve">Placement of 15 senior researchers for multinational pharma firms at average contracts of S$280,000/year</w:t>
      </w:r>
    </w:p>
    <w:p>
      <w:pPr>
        <w:numPr>
          <w:ilvl w:val="0"/>
          <w:numId w:val="1001"/>
        </w:numPr>
        <w:pStyle w:val="Compact"/>
      </w:pPr>
      <w:r>
        <w:rPr>
          <w:iCs/>
          <w:i/>
        </w:rPr>
        <w:t xml:space="preserve">Clinical Trial Management (35%):</w:t>
      </w:r>
      <w:r>
        <w:t xml:space="preserve"> </w:t>
      </w:r>
      <w:r>
        <w:t xml:space="preserve">Revenue from overseeing Phase II-III trials in Singapore Singapore hospitals with 98% client retention</w:t>
      </w:r>
    </w:p>
    <w:p>
      <w:pPr>
        <w:numPr>
          <w:ilvl w:val="0"/>
          <w:numId w:val="1001"/>
        </w:numPr>
        <w:pStyle w:val="Compact"/>
      </w:pPr>
      <w:r>
        <w:rPr>
          <w:iCs/>
          <w:i/>
        </w:rPr>
        <w:t xml:space="preserve">Regulatory Compliance Advisory (23%):</w:t>
      </w:r>
      <w:r>
        <w:t xml:space="preserve"> </w:t>
      </w:r>
      <w:r>
        <w:t xml:space="preserve">Services supporting FDA/EMA submissions for novel therapies developed through Singapore Singapore research hubs</w:t>
      </w:r>
    </w:p>
    <w:p>
      <w:pPr>
        <w:pStyle w:val="FirstParagraph"/>
      </w:pPr>
      <w:r>
        <w:rPr>
          <w:bCs/>
          <w:b/>
        </w:rPr>
        <w:t xml:space="preserve">B. Key Growth Metrics:</w:t>
      </w:r>
    </w:p>
    <w:p>
      <w:pPr>
        <w:pStyle w:val="BodyText"/>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(Singapore Singapore)</w:t>
      </w:r>
    </w:p>
    <w:p>
      <w:pPr>
        <w:pStyle w:val="BodyText"/>
      </w:pPr>
      <w:r>
        <w:t xml:space="preserve">S$8.7M</w:t>
      </w:r>
    </w:p>
    <w:p>
      <w:pPr>
        <w:pStyle w:val="BodyText"/>
      </w:pPr>
      <w:r>
        <w:t xml:space="preserve">S$6.4M</w:t>
      </w:r>
    </w:p>
    <w:p>
      <w:pPr>
        <w:pStyle w:val="BodyText"/>
      </w:pPr>
      <w:r>
        <w:t xml:space="preserve">+37%</w:t>
      </w:r>
    </w:p>
    <w:p>
      <w:pPr>
        <w:pStyle w:val="BodyText"/>
      </w:pPr>
      <w:r>
        <w:t xml:space="preserve">Medical Researcher Placements</w:t>
      </w:r>
    </w:p>
    <w:p>
      <w:pPr>
        <w:pStyle w:val="BodyText"/>
      </w:pPr>
      <w:r>
        <w:t xml:space="preserve">15 positions</w:t>
      </w:r>
    </w:p>
    <w:p>
      <w:pPr>
        <w:pStyle w:val="BodyText"/>
      </w:pPr>
      <w:r>
        <w:t xml:space="preserve">&lt;</w:t>
      </w:r>
    </w:p>
    <w:p>
      <w:pPr>
        <w:pStyle w:val="BodyText"/>
      </w:pPr>
      <w:r>
        <w:t xml:space="preserve">9 positions</w:t>
      </w:r>
    </w:p>
    <w:p>
      <w:pPr>
        <w:pStyle w:val="BodyText"/>
      </w:pPr>
      <w:r>
        <w:t xml:space="preserve">&lt;</w:t>
      </w:r>
    </w:p>
    <w:p>
      <w:pPr>
        <w:pStyle w:val="BodyText"/>
      </w:pPr>
      <w:r>
        <w:t xml:space="preserve">+67%</w:t>
      </w:r>
    </w:p>
    <w:p>
      <w:pPr>
        <w:pStyle w:val="BodyText"/>
      </w:pPr>
      <w:r>
        <w:t xml:space="preserve">New Client Acquisition (Singapore Singapore)</w:t>
      </w:r>
    </w:p>
    <w:p>
      <w:pPr>
        <w:pStyle w:val="BodyText"/>
      </w:pPr>
      <w:r>
        <w:t xml:space="preserve">d 8 firmsd</w:t>
      </w:r>
    </w:p>
    <w:p>
      <w:pPr>
        <w:pStyle w:val="BodyText"/>
      </w:pPr>
      <w:r>
        <w:t xml:space="preserve">4 firms</w:t>
      </w:r>
    </w:p>
    <w:p>
      <w:pPr>
        <w:pStyle w:val="BodyText"/>
      </w:pPr>
      <w:r>
        <w:t xml:space="preserve">+100%</w:t>
      </w:r>
    </w:p>
    <w:bookmarkEnd w:id="21"/>
    <w:bookmarkStart w:id="22" w:name="X4249e29b285f2599e59a8789b2271f72182e791"/>
    <w:p>
      <w:pPr>
        <w:pStyle w:val="Heading2"/>
      </w:pPr>
      <w:r>
        <w:t xml:space="preserve">III. Market Analysis: Why Medical Researchers Are Critical in Singapore Singapore</w:t>
      </w:r>
    </w:p>
    <w:p>
      <w:pPr>
        <w:pStyle w:val="FirstParagraph"/>
      </w:pPr>
      <w:r>
        <w:t xml:space="preserve">Singapore Singapore has cemented itself as Southeast Asia's premier medical research hub, with government initiatives like the National Research Foundation's (NRF) S$1.5 billion investment in biomedical sciences attracting 1,200+ research institutions. This dynamic environment creates unprecedented demand for specialized Medical Researchers who can navigate Singapore's rigorous regulatory framework while delivering globally competitive results.</w:t>
      </w:r>
    </w:p>
    <w:p>
      <w:pPr>
        <w:pStyle w:val="BodyText"/>
      </w:pPr>
      <w:r>
        <w:t xml:space="preserve">Key market drivers include:</w:t>
      </w:r>
    </w:p>
    <w:p>
      <w:pPr>
        <w:numPr>
          <w:ilvl w:val="0"/>
          <w:numId w:val="1002"/>
        </w:numPr>
        <w:pStyle w:val="Compact"/>
      </w:pPr>
      <w:r>
        <w:rPr>
          <w:bCs/>
          <w:b/>
        </w:rPr>
        <w:t xml:space="preserve">Government Incentives:</w:t>
      </w:r>
      <w:r>
        <w:t xml:space="preserve"> </w:t>
      </w:r>
      <w:r>
        <w:t xml:space="preserve">Singapore's BioSingapore initiative offers 50% R&amp;D tax credits, directly boosting medical research budgets and creating more Medical Researcher positions.</w:t>
      </w:r>
    </w:p>
    <w:p>
      <w:pPr>
        <w:numPr>
          <w:ilvl w:val="0"/>
          <w:numId w:val="1002"/>
        </w:numPr>
        <w:pStyle w:val="Compact"/>
      </w:pPr>
      <w:r>
        <w:rPr>
          <w:bCs/>
          <w:b/>
        </w:rPr>
        <w:t xml:space="preserve">Clinical Trial Acceleration:</w:t>
      </w:r>
      <w:r>
        <w:t xml:space="preserve"> </w:t>
      </w:r>
      <w:r>
        <w:t xml:space="preserve">Singapore's streamlined ethics approval process (average 14 days vs. global average of 30+) makes it the preferred Southeast Asian site for trials, requiring agile Medical Researchers to manage timelines.</w:t>
      </w:r>
    </w:p>
    <w:p>
      <w:pPr>
        <w:numPr>
          <w:ilvl w:val="0"/>
          <w:numId w:val="1002"/>
        </w:numPr>
        <w:pStyle w:val="Compact"/>
      </w:pPr>
      <w:r>
        <w:rPr>
          <w:bCs/>
          <w:b/>
        </w:rPr>
        <w:t xml:space="preserve">Industry Consolidation:</w:t>
      </w:r>
      <w:r>
        <w:t xml:space="preserve"> </w:t>
      </w:r>
      <w:r>
        <w:t xml:space="preserve">Major pharmaceutical acquisitions in Singapore Singapore (e.g., Pfizer acquiring local biotech firms) have increased demand for Medical Researchers skilled in post-merger research integration.</w:t>
      </w:r>
    </w:p>
    <w:bookmarkEnd w:id="22"/>
    <w:bookmarkStart w:id="23" w:name="X864bb59c5500a2b5769f8e99c621f44511a9c44"/>
    <w:p>
      <w:pPr>
        <w:pStyle w:val="Heading2"/>
      </w:pPr>
      <w:r>
        <w:t xml:space="preserve">IV. Success Stories: Medical Researcher Impact in Singapore Singapore</w:t>
      </w:r>
    </w:p>
    <w:p>
      <w:pPr>
        <w:pStyle w:val="FirstParagraph"/>
      </w:pPr>
      <w:r>
        <w:rPr>
          <w:bCs/>
          <w:b/>
        </w:rPr>
        <w:t xml:space="preserve">Case Study 1: Oncology Drug Development (Singapore Singapore Hospital Network)</w:t>
      </w:r>
      <w:r>
        <w:br/>
      </w:r>
      <w:r>
        <w:t xml:space="preserve">Our Medical Researcher team accelerated a Phase II pancreatic cancer trial by 47 days through optimized site management and data analytics. This resulted in S$3.2M in contract value for our firm, with the client extending services to three additional studies across Singapore Singapore.</w:t>
      </w:r>
    </w:p>
    <w:p>
      <w:pPr>
        <w:pStyle w:val="BodyText"/>
      </w:pPr>
      <w:r>
        <w:rPr>
          <w:bCs/>
          <w:b/>
        </w:rPr>
        <w:t xml:space="preserve">Case Study 2: Regulatory Strategy for AI-Driven Diagnostics (Singapore Singapore Tech Hub)</w:t>
      </w:r>
      <w:r>
        <w:br/>
      </w:r>
      <w:r>
        <w:t xml:space="preserve">A Medical Researcher consultant developed the submission strategy enabling a local AI healthtech startup to secure FDA breakthrough designation. This directly contributed to S$1.8M in new sales and positioned Singapore Singapore as a launchpad for next-generation medical devices across ASEAN.</w:t>
      </w:r>
    </w:p>
    <w:bookmarkEnd w:id="23"/>
    <w:bookmarkStart w:id="24" w:name="v.-challenges-strategic-response"/>
    <w:p>
      <w:pPr>
        <w:pStyle w:val="Heading2"/>
      </w:pPr>
      <w:r>
        <w:t xml:space="preserve">V. Challenges &amp; Strategic Response</w:t>
      </w:r>
    </w:p>
    <w:p>
      <w:pPr>
        <w:pStyle w:val="FirstParagraph"/>
      </w:pPr>
      <w:r>
        <w:rPr>
          <w:bCs/>
          <w:b/>
        </w:rPr>
        <w:t xml:space="preserve">Primary Challenge: Talent Competition in Singapore Singapore Market</w:t>
      </w:r>
      <w:r>
        <w:br/>
      </w:r>
      <w:r>
        <w:t xml:space="preserve">With 45% of all clinical research positions in Southeast Asia concentrated in Singapore Singapore, we face intense competition for Medical Researchers with specialized expertise (e.g., oncology, neurology). To counter this:</w:t>
      </w:r>
    </w:p>
    <w:p>
      <w:pPr>
        <w:numPr>
          <w:ilvl w:val="0"/>
          <w:numId w:val="1003"/>
        </w:numPr>
        <w:pStyle w:val="Compact"/>
      </w:pPr>
      <w:r>
        <w:t xml:space="preserve">Launched "Singapore Singapore Researcher Talent Pipeline" – partnering with NUS and NTU to pre-screen graduates for our recruitment needs</w:t>
      </w:r>
    </w:p>
    <w:p>
      <w:pPr>
        <w:numPr>
          <w:ilvl w:val="0"/>
          <w:numId w:val="1003"/>
        </w:numPr>
        <w:pStyle w:val="Compact"/>
      </w:pPr>
      <w:r>
        <w:t xml:space="preserve">Introduced 15% premium compensation for Medical Researchers with Singapore-specific regulatory experience</w:t>
      </w:r>
    </w:p>
    <w:p>
      <w:pPr>
        <w:numPr>
          <w:ilvl w:val="0"/>
          <w:numId w:val="1003"/>
        </w:numPr>
        <w:pStyle w:val="Compact"/>
      </w:pPr>
      <w:r>
        <w:t xml:space="preserve">Developed proprietary training modules certified by HDBSCAN (Health Sciences Authority) for local market compliance</w:t>
      </w:r>
    </w:p>
    <w:bookmarkEnd w:id="24"/>
    <w:bookmarkStart w:id="25" w:name="X5ab38f95209f78bfab307320635feb3aca17acc"/>
    <w:p>
      <w:pPr>
        <w:pStyle w:val="Heading2"/>
      </w:pPr>
      <w:r>
        <w:t xml:space="preserve">VI. Future Outlook: Medical Researcher Growth in Singapore Singapore</w:t>
      </w:r>
    </w:p>
    <w:p>
      <w:pPr>
        <w:pStyle w:val="FirstParagraph"/>
      </w:pPr>
      <w:r>
        <w:t xml:space="preserve">Singapore Singapore's strategic position as a bridge between Western innovation and Asian markets will continue to fuel demand for Medical Researchers. We project 30% annual growth in our medical research services through 2025, driven by:</w:t>
      </w:r>
    </w:p>
    <w:p>
      <w:pPr>
        <w:numPr>
          <w:ilvl w:val="0"/>
          <w:numId w:val="1004"/>
        </w:numPr>
        <w:pStyle w:val="Compact"/>
      </w:pPr>
      <w:r>
        <w:t xml:space="preserve">Expansion of the National Precision Medicine Initiative (S$300M investment) requiring specialized Medical Researchers</w:t>
      </w:r>
    </w:p>
    <w:p>
      <w:pPr>
        <w:numPr>
          <w:ilvl w:val="0"/>
          <w:numId w:val="1004"/>
        </w:numPr>
        <w:pStyle w:val="Compact"/>
      </w:pPr>
      <w:r>
        <w:t xml:space="preserve">Increased collaboration between Singapore Singapore biotech firms and US/European pharmaceutical giants</w:t>
      </w:r>
    </w:p>
    <w:p>
      <w:pPr>
        <w:numPr>
          <w:ilvl w:val="0"/>
          <w:numId w:val="1004"/>
        </w:numPr>
        <w:pStyle w:val="Compact"/>
      </w:pPr>
      <w:r>
        <w:t xml:space="preserve">Rising focus on rare disease research – an emerging priority area for Singapore Singapore's Health Ministry</w:t>
      </w:r>
    </w:p>
    <w:p>
      <w:pPr>
        <w:pStyle w:val="FirstParagraph"/>
      </w:pPr>
      <w:r>
        <w:t xml:space="preserve">Our sales strategy will prioritize:</w:t>
      </w:r>
    </w:p>
    <w:p>
      <w:pPr>
        <w:numPr>
          <w:ilvl w:val="0"/>
          <w:numId w:val="1005"/>
        </w:numPr>
        <w:pStyle w:val="Compact"/>
      </w:pPr>
      <w:r>
        <w:rPr>
          <w:bCs/>
          <w:b/>
        </w:rPr>
        <w:t xml:space="preserve">Deepening Singapore Singapore Government Partnerships:</w:t>
      </w:r>
      <w:r>
        <w:t xml:space="preserve"> </w:t>
      </w:r>
      <w:r>
        <w:t xml:space="preserve">Targeting 5 new MOH (Ministry of Health) contracts by Q2 2024</w:t>
      </w:r>
    </w:p>
    <w:p>
      <w:pPr>
        <w:numPr>
          <w:ilvl w:val="0"/>
          <w:numId w:val="1005"/>
        </w:numPr>
        <w:pStyle w:val="Compact"/>
      </w:pPr>
      <w:r>
        <w:rPr>
          <w:bCs/>
          <w:b/>
        </w:rPr>
        <w:t xml:space="preserve">Specialized Medical Researcher Niches:</w:t>
      </w:r>
      <w:r>
        <w:t xml:space="preserve"> </w:t>
      </w:r>
      <w:r>
        <w:t xml:space="preserve">Building dedicated teams for cell therapy, digital health, and gene editing research</w:t>
      </w:r>
    </w:p>
    <w:p>
      <w:pPr>
        <w:numPr>
          <w:ilvl w:val="0"/>
          <w:numId w:val="1005"/>
        </w:numPr>
        <w:pStyle w:val="Compact"/>
      </w:pPr>
      <w:r>
        <w:rPr>
          <w:bCs/>
          <w:b/>
        </w:rPr>
        <w:t xml:space="preserve">Technology Integration:</w:t>
      </w:r>
      <w:r>
        <w:t xml:space="preserve"> </w:t>
      </w:r>
      <w:r>
        <w:t xml:space="preserve">Implementing AI tools to streamline medical research project management in Singapore Singapore operations</w:t>
      </w:r>
    </w:p>
    <w:bookmarkEnd w:id="25"/>
    <w:bookmarkStart w:id="26" w:name="Xa3297f5a6a1ac8f741a0eba4b6db7e8f82c3055"/>
    <w:p>
      <w:pPr>
        <w:pStyle w:val="Heading2"/>
      </w:pPr>
      <w:r>
        <w:t xml:space="preserve">VII. Conclusion: The Unmatched Value of Medical Researcher Expertise in Singapore Singapore</w:t>
      </w:r>
    </w:p>
    <w:p>
      <w:pPr>
        <w:pStyle w:val="FirstParagraph"/>
      </w:pPr>
      <w:r>
        <w:t xml:space="preserve">The Q3 sales performance underscores an undeniable truth: Medical Researchers are the cornerstone of success for any organization operating within Singapore Singapore's medical research landscape. Their specialized skills directly correlate with faster trial execution, higher regulatory success rates, and superior return on investment – all critical in our competitive environment. As Singapore Singapore solidifies its position as Asia's biomedical innovation capital, the demand for exceptional Medical Researchers will only intensify.</w:t>
      </w:r>
    </w:p>
    <w:p>
      <w:pPr>
        <w:pStyle w:val="BodyText"/>
      </w:pPr>
      <w:r>
        <w:t xml:space="preserve">We recommend doubling down on our medical research talent strategy in Singapore Singapore through enhanced local partnerships and targeted recruitment. The 37% growth achieved this quarter is not merely an outcome – it's a validation of our model, proving that when we deliver world-class Medical Researcher services tailored to the Singapore Singapore market, we unlock transformative value for clients and sustainable growth for our organization.</w:t>
      </w:r>
    </w:p>
    <w:p>
      <w:pPr>
        <w:pStyle w:val="BodyText"/>
      </w:pPr>
      <w:r>
        <w:rPr>
          <w:bCs/>
          <w:b/>
        </w:rPr>
        <w:t xml:space="preserve">Final Note:</w:t>
      </w:r>
      <w:r>
        <w:t xml:space="preserve"> </w:t>
      </w:r>
      <w:r>
        <w:t xml:space="preserve">Our success in Singapore Singapore demonstrates how strategic alignment between medical research expertise and regional market dynamics creates unmatched sales momentum. The future belongs to organizations that recognize Medical Researchers as critical assets – not just employees – in the Singapore Singapore ecosystem. We are positioned to lead this evolution through Q4 2023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Services in Singapore Singapore</dc:title>
  <dc:creator/>
  <dc:language>en</dc:language>
  <cp:keywords/>
  <dcterms:created xsi:type="dcterms:W3CDTF">2026-07-24T13:02:26Z</dcterms:created>
  <dcterms:modified xsi:type="dcterms:W3CDTF">2026-07-24T13:02:26Z</dcterms:modified>
</cp:coreProperties>
</file>

<file path=docProps/custom.xml><?xml version="1.0" encoding="utf-8"?>
<Properties xmlns="http://schemas.openxmlformats.org/officeDocument/2006/custom-properties" xmlns:vt="http://schemas.openxmlformats.org/officeDocument/2006/docPropsVTypes"/>
</file>