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18c9158baa0f15de70ca6521bb5785d1a0c5798"/>
    <w:p>
      <w:pPr>
        <w:pStyle w:val="Heading1"/>
      </w:pPr>
      <w:r>
        <w:t xml:space="preserve">Q3 2023 Sales Report: Medical Researcher Talent Acquisition &amp; Market Insights for Cape Town, South Africa</w:t>
      </w:r>
    </w:p>
    <w:bookmarkStart w:id="20" w:name="executive-summary"/>
    <w:p>
      <w:pPr>
        <w:pStyle w:val="Heading2"/>
      </w:pPr>
      <w:r>
        <w:t xml:space="preserve">Executive Summary</w:t>
      </w:r>
    </w:p>
    <w:p>
      <w:pPr>
        <w:pStyle w:val="FirstParagraph"/>
      </w:pPr>
      <w:r>
        <w:t xml:space="preserve">This report details the performance and strategic outlook of our Medical Researcher recruitment services within the dynamic healthcare ecosystem of Cape Town, South Africa. As a leading talent acquisition agency specializing in scientific personnel, we have observed significant demand for skilled Medical Researchers across clinical research institutions, pharmaceutical companies, and academic bodies in the Western Cape. Our Q3 2023 sales performance reflects a 22% year-over-year increase in placement volume for Medical Researchers specifically targeting the Cape Town market. This growth is directly attributable to accelerated medical research initiatives driven by local health challenges and international collaborations centered in our city.</w:t>
      </w:r>
    </w:p>
    <w:bookmarkEnd w:id="20"/>
    <w:bookmarkStart w:id="21" w:name="X2d8d3e14d603c3174a9113e113bf03f9bb2c070"/>
    <w:p>
      <w:pPr>
        <w:pStyle w:val="Heading2"/>
      </w:pPr>
      <w:r>
        <w:t xml:space="preserve">Market Analysis: Demand Drivers for Medical Researchers in Cape Town</w:t>
      </w:r>
    </w:p>
    <w:p>
      <w:pPr>
        <w:pStyle w:val="FirstParagraph"/>
      </w:pPr>
      <w:r>
        <w:t xml:space="preserve">Cape Town stands as the undisputed hub for biomedical innovation in South Africa. The concentration of world-class institutions – including the University of Cape Town (UCT) Faculty of Health Sciences, Stellenbosch University’s Medical School, Groote Schuur Hospital, and numerous private research facilities – creates a unique ecosystem demanding specialized Medical Researcher expertise. Key factors fueling this demand include:</w:t>
      </w:r>
    </w:p>
    <w:p>
      <w:pPr>
        <w:numPr>
          <w:ilvl w:val="0"/>
          <w:numId w:val="1001"/>
        </w:numPr>
        <w:pStyle w:val="Compact"/>
      </w:pPr>
      <w:r>
        <w:rPr>
          <w:bCs/>
          <w:b/>
        </w:rPr>
        <w:t xml:space="preserve">Public Health Priorities:</w:t>
      </w:r>
      <w:r>
        <w:t xml:space="preserve"> </w:t>
      </w:r>
      <w:r>
        <w:t xml:space="preserve">Cape Town grapples with high burdens of HIV/AIDS, tuberculosis (TB), and maternal health challenges. The South Africa National Department of Health prioritizes research-driven interventions, directly increasing roles for Medical Researchers in epidemiological studies and clinical trials.</w:t>
      </w:r>
    </w:p>
    <w:p>
      <w:pPr>
        <w:numPr>
          <w:ilvl w:val="0"/>
          <w:numId w:val="1001"/>
        </w:numPr>
        <w:pStyle w:val="Compact"/>
      </w:pPr>
      <w:r>
        <w:rPr>
          <w:bCs/>
          <w:b/>
        </w:rPr>
        <w:t xml:space="preserve">International Collaborations:</w:t>
      </w:r>
      <w:r>
        <w:t xml:space="preserve"> </w:t>
      </w:r>
      <w:r>
        <w:t xml:space="preserve">Institutions like the Desmond Tutu HIV Centre at UCT attract major global grants (e.g., from NIH, Wellcome Trust), necessitating locally-based Medical Researchers to manage complex data and ethical compliance.</w:t>
      </w:r>
    </w:p>
    <w:p>
      <w:pPr>
        <w:numPr>
          <w:ilvl w:val="0"/>
          <w:numId w:val="1001"/>
        </w:numPr>
        <w:pStyle w:val="Compact"/>
      </w:pPr>
      <w:r>
        <w:rPr>
          <w:bCs/>
          <w:b/>
        </w:rPr>
        <w:t xml:space="preserve">Pharmaceutical Investment:</w:t>
      </w:r>
      <w:r>
        <w:t xml:space="preserve"> </w:t>
      </w:r>
      <w:r>
        <w:t xml:space="preserve">Cape Town hosts key operational centers for international pharma firms conducting Phase II/III trials for diseases prevalent in Africa. This drives consistent need for Medical Researchers with regulatory knowledge (SAHPRA, ICH-GCP).</w:t>
      </w:r>
    </w:p>
    <w:bookmarkEnd w:id="21"/>
    <w:bookmarkStart w:id="22" w:name="X28db6fc0038a642e17dab3b7e40e58f394f9f5e"/>
    <w:p>
      <w:pPr>
        <w:pStyle w:val="Heading2"/>
      </w:pPr>
      <w:r>
        <w:t xml:space="preserve">Sales Performance: Medical Researcher Placements in Cape Town</w:t>
      </w:r>
    </w:p>
    <w:p>
      <w:pPr>
        <w:pStyle w:val="FirstParagraph"/>
      </w:pPr>
      <w:r>
        <w:t xml:space="preserve">Our Q3 2023 sales metrics demonstrate exceptional alignment with Cape Town’s market needs:</w:t>
      </w:r>
    </w:p>
    <w:p>
      <w:pPr>
        <w:pStyle w:val="BodyText"/>
      </w:pPr>
      <w:r>
        <w:t xml:space="preserve">Placement Category</w:t>
      </w:r>
    </w:p>
    <w:p>
      <w:pPr>
        <w:pStyle w:val="BodyText"/>
      </w:pPr>
      <w:r>
        <w:t xml:space="preserve">Q3 2023 Count</w:t>
      </w:r>
    </w:p>
    <w:p>
      <w:pPr>
        <w:pStyle w:val="BodyText"/>
      </w:pPr>
      <w:r>
        <w:t xml:space="preserve">% of Total Medical Researcher Placements (Cape Town)</w:t>
      </w:r>
    </w:p>
    <w:p>
      <w:pPr>
        <w:pStyle w:val="BodyText"/>
      </w:pPr>
      <w:r>
        <w:t xml:space="preserve">Key Client Institutions</w:t>
      </w:r>
    </w:p>
    <w:p>
      <w:pPr>
        <w:pStyle w:val="BodyText"/>
      </w:pPr>
      <w:r>
        <w:t xml:space="preserve">Clinical Trial Leads (Pharma/Contract Research Orgs)</w:t>
      </w:r>
    </w:p>
    <w:p>
      <w:pPr>
        <w:pStyle w:val="BodyText"/>
      </w:pPr>
      <w:r>
        <w:t xml:space="preserve">15</w:t>
      </w:r>
    </w:p>
    <w:p>
      <w:pPr>
        <w:pStyle w:val="BodyText"/>
      </w:pPr>
      <w:r>
        <w:t xml:space="preserve">38%</w:t>
      </w:r>
    </w:p>
    <w:p>
      <w:pPr>
        <w:pStyle w:val="BodyText"/>
      </w:pPr>
      <w:r>
        <w:t xml:space="preserve">GSK Cape Town, IQVIA, Clinical Research Africa</w:t>
      </w:r>
    </w:p>
    <w:p>
      <w:pPr>
        <w:pStyle w:val="BodyText"/>
      </w:pPr>
      <w:r>
        <w:t xml:space="preserve">Academic Researchers (University-Based)</w:t>
      </w:r>
    </w:p>
    <w:p>
      <w:pPr>
        <w:pStyle w:val="BodyText"/>
      </w:pPr>
      <w:r>
        <w:t xml:space="preserve">12</w:t>
      </w:r>
    </w:p>
    <w:p>
      <w:pPr>
        <w:pStyle w:val="BodyText"/>
      </w:pPr>
      <w:r>
        <w:t xml:space="preserve">31%</w:t>
      </w:r>
    </w:p>
    <w:p>
      <w:pPr>
        <w:pStyle w:val="BodyText"/>
      </w:pPr>
      <w:r>
        <w:br/>
      </w:r>
      <w:r>
        <w:t xml:space="preserve">*(Growth of 25% vs. Q2)*</w:t>
      </w:r>
    </w:p>
    <w:p>
      <w:pPr>
        <w:pStyle w:val="BodyText"/>
      </w:pPr>
      <w:r>
        <w:t xml:space="preserve">UCT, Stellenbosch University, SAMRC Cape Town Node</w:t>
      </w:r>
    </w:p>
    <w:p>
      <w:pPr>
        <w:pStyle w:val="BodyText"/>
      </w:pPr>
      <w:r>
        <w:t xml:space="preserve">Epidemiology/Public Health Specialists</w:t>
      </w:r>
    </w:p>
    <w:p>
      <w:pPr>
        <w:pStyle w:val="BodyText"/>
      </w:pPr>
      <w:r>
        <w:t xml:space="preserve">9</w:t>
      </w:r>
    </w:p>
    <w:p>
      <w:pPr>
        <w:pStyle w:val="BodyText"/>
      </w:pPr>
      <w:r>
        <w:t xml:space="preserve">23%</w:t>
      </w:r>
    </w:p>
    <w:p>
      <w:pPr>
        <w:pStyle w:val="BodyText"/>
      </w:pPr>
      <w:r>
        <w:br/>
      </w:r>
      <w:r>
        <w:t xml:space="preserve">*(Driven by HIV/TB initiatives)*</w:t>
      </w:r>
    </w:p>
    <w:p>
      <w:pPr>
        <w:pStyle w:val="BodyText"/>
      </w:pPr>
      <w:r>
        <w:t xml:space="preserve">National Institute for Communicable Diseases (NICD), Western Cape DOH</w:t>
      </w:r>
    </w:p>
    <w:p>
      <w:pPr>
        <w:pStyle w:val="BodyText"/>
      </w:pPr>
      <w:r>
        <w:t xml:space="preserve">Total Medical Researcher Placements</w:t>
      </w:r>
    </w:p>
    <w:p>
      <w:pPr>
        <w:pStyle w:val="BodyText"/>
      </w:pPr>
      <w:r>
        <w:t xml:space="preserve">36</w:t>
      </w:r>
    </w:p>
    <w:p>
      <w:pPr>
        <w:pStyle w:val="BodyText"/>
      </w:pPr>
      <w:r>
        <w:br/>
      </w:r>
      <w:r>
        <w:t xml:space="preserve">*(100% focused on Cape Town)*</w:t>
      </w:r>
    </w:p>
    <w:p>
      <w:pPr>
        <w:pStyle w:val="BodyText"/>
      </w:pPr>
      <w:r>
        <w:t xml:space="preserve">100%</w:t>
      </w:r>
    </w:p>
    <w:p>
      <w:pPr>
        <w:pStyle w:val="BodyText"/>
      </w:pPr>
      <w:r>
        <w:t xml:space="preserve">The average time-to-fill for Medical Researchers in Cape Town was 42 days – below the national benchmark of 58 days. This efficiency stems from our deep local network within South Africa’s scientific community, including partnerships with the South African Medical Research Council (SAMRC) and Cape Town-based research networks.</w:t>
      </w:r>
    </w:p>
    <w:bookmarkEnd w:id="22"/>
    <w:bookmarkStart w:id="23" w:name="X235ad8df04349f9c7799d4830f498da23038085"/>
    <w:p>
      <w:pPr>
        <w:pStyle w:val="Heading2"/>
      </w:pPr>
      <w:r>
        <w:t xml:space="preserve">Client Testimonials: Why Cape Town Prioritizes Medical Researchers</w:t>
      </w:r>
    </w:p>
    <w:p>
      <w:pPr>
        <w:pStyle w:val="FirstParagraph"/>
      </w:pPr>
      <w:r>
        <w:t xml:space="preserve">Feedback from key clients underscores the strategic importance of securing top-tier Medical Researchers in our city:</w:t>
      </w:r>
    </w:p>
    <w:p>
      <w:pPr>
        <w:pStyle w:val="BlockText"/>
      </w:pPr>
      <w:r>
        <w:rPr>
          <w:iCs/>
          <w:i/>
        </w:rPr>
        <w:t xml:space="preserve">"The urgency of conducting HIV cure trials in Cape Town demands researchers who understand local epidemiology and community engagement. Our success rate with new protocols increased 30% after securing a UCT-trained Medical Researcher through your agency. This is non-negotiable for our work here."</w:t>
      </w:r>
      <w:r>
        <w:br/>
      </w:r>
      <w:r>
        <w:rPr>
          <w:bCs/>
          <w:b/>
        </w:rPr>
        <w:t xml:space="preserve">- Dr. Lena van der Merwe, Head of Clinical Research, GSK Cape Town</w:t>
      </w:r>
    </w:p>
    <w:p>
      <w:pPr>
        <w:pStyle w:val="BlockText"/>
      </w:pPr>
      <w:r>
        <w:rPr>
          <w:iCs/>
          <w:i/>
        </w:rPr>
        <w:t xml:space="preserve">"Cape Town’s unique patient demographics require Medical Researchers fluent in local health systems. Your placements consistently bridge the gap between global protocols and South African context – a critical factor in our successful SAMRC-funded maternal health study."</w:t>
      </w:r>
      <w:r>
        <w:br/>
      </w:r>
      <w:r>
        <w:rPr>
          <w:bCs/>
          <w:b/>
        </w:rPr>
        <w:t xml:space="preserve">- Prof. Thabo Nkosi, Director, UCT Maternal Health Research Centre</w:t>
      </w:r>
    </w:p>
    <w:bookmarkEnd w:id="23"/>
    <w:bookmarkStart w:id="24" w:name="Xfad06e303876a263a7fb20d335ada124eecb195"/>
    <w:p>
      <w:pPr>
        <w:pStyle w:val="Heading2"/>
      </w:pPr>
      <w:r>
        <w:t xml:space="preserve">Challenges &amp; Strategic Opportunities in the Cape Town Market</w:t>
      </w:r>
    </w:p>
    <w:p>
      <w:pPr>
        <w:pStyle w:val="FirstParagraph"/>
      </w:pPr>
      <w:r>
        <w:t xml:space="preserve">While demand is robust, challenges persist that impact Medical Researcher sales outcomes:</w:t>
      </w:r>
    </w:p>
    <w:p>
      <w:pPr>
        <w:numPr>
          <w:ilvl w:val="0"/>
          <w:numId w:val="1002"/>
        </w:numPr>
        <w:pStyle w:val="Compact"/>
      </w:pPr>
      <w:r>
        <w:rPr>
          <w:bCs/>
          <w:b/>
        </w:rPr>
        <w:t xml:space="preserve">Talent Retention Pressure:</w:t>
      </w:r>
      <w:r>
        <w:t xml:space="preserve"> </w:t>
      </w:r>
      <w:r>
        <w:t xml:space="preserve">45% of senior Medical Researchers in Cape Town receive offers from global firms. Our sales strategy now includes "Cape Town Retention Packages" (e.g., housing subsidies, local research grants) to secure top candidates.</w:t>
      </w:r>
    </w:p>
    <w:p>
      <w:pPr>
        <w:numPr>
          <w:ilvl w:val="0"/>
          <w:numId w:val="1002"/>
        </w:numPr>
        <w:pStyle w:val="Compact"/>
      </w:pPr>
      <w:r>
        <w:rPr>
          <w:bCs/>
          <w:b/>
        </w:rPr>
        <w:t xml:space="preserve">Skill Gaps:</w:t>
      </w:r>
      <w:r>
        <w:t xml:space="preserve"> </w:t>
      </w:r>
      <w:r>
        <w:t xml:space="preserve">High demand for Medical Researchers with AI/ML skills in clinical data analysis remains underserved. We are partnering with UCT’s Data Science Institute to develop targeted recruitment streams.</w:t>
      </w:r>
    </w:p>
    <w:p>
      <w:pPr>
        <w:numPr>
          <w:ilvl w:val="0"/>
          <w:numId w:val="1002"/>
        </w:numPr>
        <w:pStyle w:val="Compact"/>
      </w:pPr>
      <w:r>
        <w:rPr>
          <w:bCs/>
          <w:b/>
        </w:rPr>
        <w:t xml:space="preserve">Compliance Complexity:</w:t>
      </w:r>
      <w:r>
        <w:t xml:space="preserve"> </w:t>
      </w:r>
      <w:r>
        <w:t xml:space="preserve">Navigating SAHPRA and international ethics requirements requires specialized recruiters. Our Cape Town team has certified 100% of its specialists in SA clinical research regulations (2023).</w:t>
      </w:r>
    </w:p>
    <w:bookmarkEnd w:id="24"/>
    <w:bookmarkStart w:id="25" w:name="X207d19f8119fd09e3ca08a514fd2c2a78b0b2b9"/>
    <w:p>
      <w:pPr>
        <w:pStyle w:val="Heading2"/>
      </w:pPr>
      <w:r>
        <w:t xml:space="preserve">Future Outlook: Sales Strategy for Medical Researchers in Cape Town</w:t>
      </w:r>
    </w:p>
    <w:p>
      <w:pPr>
        <w:pStyle w:val="FirstParagraph"/>
      </w:pPr>
      <w:r>
        <w:t xml:space="preserve">Cape Town’s position as Africa’s medical research capital will intensify demand for qualified Medical Researchers. Our Q4 2023 sales targets include:</w:t>
      </w:r>
    </w:p>
    <w:p>
      <w:pPr>
        <w:numPr>
          <w:ilvl w:val="0"/>
          <w:numId w:val="1003"/>
        </w:numPr>
        <w:pStyle w:val="Compact"/>
      </w:pPr>
      <w:r>
        <w:rPr>
          <w:bCs/>
          <w:b/>
        </w:rPr>
        <w:t xml:space="preserve">Expand Academic Partnerships:</w:t>
      </w:r>
      <w:r>
        <w:t xml:space="preserve"> </w:t>
      </w:r>
      <w:r>
        <w:t xml:space="preserve">Formalize agreements with all major Cape Town universities to secure early access to PhD graduates in biomedical sciences.</w:t>
      </w:r>
    </w:p>
    <w:p>
      <w:pPr>
        <w:numPr>
          <w:ilvl w:val="0"/>
          <w:numId w:val="1003"/>
        </w:numPr>
        <w:pStyle w:val="Compact"/>
      </w:pPr>
      <w:r>
        <w:rPr>
          <w:bCs/>
          <w:b/>
        </w:rPr>
        <w:t xml:space="preserve">Launch "Cape Town Researcher Connect" Initiative:</w:t>
      </w:r>
      <w:r>
        <w:t xml:space="preserve"> </w:t>
      </w:r>
      <w:r>
        <w:t xml:space="preserve">A quarterly networking forum for Medical Researchers to foster local collaboration and reduce brain drain.</w:t>
      </w:r>
    </w:p>
    <w:p>
      <w:pPr>
        <w:numPr>
          <w:ilvl w:val="0"/>
          <w:numId w:val="1003"/>
        </w:numPr>
        <w:pStyle w:val="Compact"/>
      </w:pPr>
      <w:r>
        <w:rPr>
          <w:bCs/>
          <w:b/>
        </w:rPr>
        <w:t xml:space="preserve">Serve the Growing MedTech Sector:</w:t>
      </w:r>
      <w:r>
        <w:t xml:space="preserve"> </w:t>
      </w:r>
      <w:r>
        <w:t xml:space="preserve">Target startups developing diagnostic tools (e.g., Cape Town-based company, DxOne) seeking Medical Researchers for product validation trials.</w:t>
      </w:r>
    </w:p>
    <w:bookmarkEnd w:id="25"/>
    <w:bookmarkStart w:id="26" w:name="conclusion"/>
    <w:p>
      <w:pPr>
        <w:pStyle w:val="Heading2"/>
      </w:pPr>
      <w:r>
        <w:t xml:space="preserve">Conclusion</w:t>
      </w:r>
    </w:p>
    <w:p>
      <w:pPr>
        <w:pStyle w:val="FirstParagraph"/>
      </w:pPr>
      <w:r>
        <w:t xml:space="preserve">The sales performance for Medical Researcher placements in Cape Town, South Africa, reflects a thriving market driven by urgent public health needs and global investment. Our agency’s success – marked by 36 placements in Q3 and a 19% increase in client retention – stems from our hyper-localized understanding of the city’s research landscape. As medical innovation accelerates across Cape Town, securing the right Medical Researcher talent remains critical for both institutional success and South Africa’s global health leadership. We project a 25% annual growth in Medical Researcher recruitment demand within Cape Town through 2024, positioning our sales strategy as essential to the region’s scientific advancement.</w:t>
      </w:r>
    </w:p>
    <w:p>
      <w:pPr>
        <w:pStyle w:val="BodyText"/>
      </w:pPr>
      <w:r>
        <w:rPr>
          <w:bCs/>
          <w:b/>
        </w:rPr>
        <w:t xml:space="preserve">Prepared For:</w:t>
      </w:r>
      <w:r>
        <w:t xml:space="preserve"> </w:t>
      </w:r>
      <w:r>
        <w:t xml:space="preserve">Executive Leadership |</w:t>
      </w:r>
      <w:r>
        <w:t xml:space="preserve"> </w:t>
      </w:r>
      <w:r>
        <w:rPr>
          <w:bCs/>
          <w:b/>
        </w:rPr>
        <w:t xml:space="preserve">Date:</w:t>
      </w:r>
      <w:r>
        <w:t xml:space="preserve"> </w:t>
      </w:r>
      <w:r>
        <w:t xml:space="preserve">October 17, 2023 |</w:t>
      </w:r>
      <w:r>
        <w:t xml:space="preserve"> </w:t>
      </w:r>
      <w:r>
        <w:rPr>
          <w:bCs/>
          <w:b/>
        </w:rPr>
        <w:t xml:space="preserve">Focus Region:</w:t>
      </w:r>
      <w:r>
        <w:t xml:space="preserve"> </w:t>
      </w:r>
      <w:r>
        <w:t xml:space="preserve">Cape Town, South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Recruitment in Cape Town, South Africa</dc:title>
  <dc:creator/>
  <dc:language>en</dc:language>
  <cp:keywords/>
  <dcterms:created xsi:type="dcterms:W3CDTF">2026-07-24T15:07:26Z</dcterms:created>
  <dcterms:modified xsi:type="dcterms:W3CDTF">2026-07-24T15:07:26Z</dcterms:modified>
</cp:coreProperties>
</file>

<file path=docProps/custom.xml><?xml version="1.0" encoding="utf-8"?>
<Properties xmlns="http://schemas.openxmlformats.org/officeDocument/2006/custom-properties" xmlns:vt="http://schemas.openxmlformats.org/officeDocument/2006/docPropsVTypes"/>
</file>