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Talent</w:t>
      </w:r>
      <w:r>
        <w:t xml:space="preserve"> </w:t>
      </w:r>
      <w:r>
        <w:t xml:space="preserve">Acquisition</w:t>
      </w:r>
      <w:r>
        <w:t xml:space="preserve"> </w:t>
      </w:r>
      <w:r>
        <w:t xml:space="preserve">Report:</w:t>
      </w:r>
      <w:r>
        <w:t xml:space="preserve"> </w:t>
      </w:r>
      <w:r>
        <w:t xml:space="preserve">Medical</w:t>
      </w:r>
      <w:r>
        <w:t xml:space="preserve"> </w:t>
      </w:r>
      <w:r>
        <w:t xml:space="preserve">Researcher</w:t>
      </w:r>
      <w:r>
        <w:t xml:space="preserve"> </w:t>
      </w:r>
      <w:r>
        <w:t xml:space="preserve">Market</w:t>
      </w:r>
      <w:r>
        <w:t xml:space="preserve"> </w:t>
      </w:r>
      <w:r>
        <w:t xml:space="preserve">in</w:t>
      </w:r>
      <w:r>
        <w:t xml:space="preserve"> </w:t>
      </w:r>
      <w:r>
        <w:t xml:space="preserve">Seoul,</w:t>
      </w:r>
      <w:r>
        <w:t xml:space="preserve"> </w:t>
      </w:r>
      <w:r>
        <w:t xml:space="preserve">South</w:t>
      </w:r>
      <w:r>
        <w:t xml:space="preserve"> </w:t>
      </w:r>
      <w:r>
        <w:t xml:space="preserve">Korea</w:t>
      </w:r>
    </w:p>
    <w:bookmarkStart w:id="28" w:name="X552c5b7475498b81746c84913898ccf7c8d2164"/>
    <w:p>
      <w:pPr>
        <w:pStyle w:val="Heading1"/>
      </w:pPr>
      <w:r>
        <w:t xml:space="preserve">2024 Strategic Sales Report: Medical Researcher Talent Acquisition &amp; Market Analysis for South Korea Seoul</w:t>
      </w:r>
    </w:p>
    <w:bookmarkStart w:id="20" w:name="executive-summary"/>
    <w:p>
      <w:pPr>
        <w:pStyle w:val="Heading2"/>
      </w:pPr>
      <w:r>
        <w:t xml:space="preserve">Executive Summary</w:t>
      </w:r>
    </w:p>
    <w:p>
      <w:pPr>
        <w:pStyle w:val="FirstParagraph"/>
      </w:pPr>
      <w:r>
        <w:t xml:space="preserve">This comprehensive Sales Report details the strategic landscape for securing top-tier Medical Researchers within Seoul, South Korea—the epicenter of Asia's biotechnology and pharmaceutical innovation. With Seoul hosting 73% of South Korea's R&amp;D-intensive firms and driving 68% of national medical research funding (Korean Ministry of Science &amp; ICT, 2023), demand for specialized Medical Researchers has surged by 34% YoY. This document outlines market dynamics, competitive positioning, and actionable acquisition strategies to empower global biotech firms expanding their Seoul operations. Crucially, this Sales Report positions Medical Researcher talent as the core asset driving commercial success in South Korea's $12.8B pharmaceutical market.</w:t>
      </w:r>
    </w:p>
    <w:bookmarkEnd w:id="20"/>
    <w:bookmarkStart w:id="21" w:name="Xda5e31c25c8f7e06ffcd69dbb35127bc2cd3d1e"/>
    <w:p>
      <w:pPr>
        <w:pStyle w:val="Heading2"/>
      </w:pPr>
      <w:r>
        <w:t xml:space="preserve">Seoul: The Unrivaled Hub for Medical Research Excellence</w:t>
      </w:r>
    </w:p>
    <w:p>
      <w:pPr>
        <w:pStyle w:val="FirstParagraph"/>
      </w:pPr>
      <w:r>
        <w:t xml:space="preserve">Seoul’s unique ecosystem makes it indispensable for medical research ventures. Home to 14 world-class universities (including Seoul National University and Yonsei University), 5 national research institutes, and Samsung Medical Center—the largest hospital network in Asia—Seoul offers unparalleled access to clinical trial infrastructure. The city’s government incentives, such as the "Seoul Biotech Innovation Grant" (providing up to 40% R&amp;D cost subsidies), directly accelerate Medical Researcher recruitment. Notably, 89% of South Korea's top 20 pharmaceutical firms maintain primary research facilities in Seoul’s Gangnam and Yongsan districts, creating a concentrated talent pool where our Sales Report identifies the highest return-on-investment for Medical Researcher acquisition.</w:t>
      </w:r>
    </w:p>
    <w:bookmarkEnd w:id="21"/>
    <w:bookmarkStart w:id="22" w:name="X1d81f881d7d8e122d3c226e3f3a5feaefcdb921"/>
    <w:p>
      <w:pPr>
        <w:pStyle w:val="Heading2"/>
      </w:pPr>
      <w:r>
        <w:t xml:space="preserve">Current Market Analysis: Demand-Supply Dynamics</w:t>
      </w:r>
    </w:p>
    <w:p>
      <w:pPr>
        <w:pStyle w:val="FirstParagraph"/>
      </w:pPr>
      <w:r>
        <w:t xml:space="preserve">The demand for Medical Researchers in Seoul is fueled by three critical trends:</w:t>
      </w:r>
    </w:p>
    <w:p>
      <w:pPr>
        <w:numPr>
          <w:ilvl w:val="0"/>
          <w:numId w:val="1001"/>
        </w:numPr>
        <w:pStyle w:val="Compact"/>
      </w:pPr>
      <w:r>
        <w:rPr>
          <w:bCs/>
          <w:b/>
        </w:rPr>
        <w:t xml:space="preserve">Regulatory Acceleration:</w:t>
      </w:r>
      <w:r>
        <w:t xml:space="preserve"> </w:t>
      </w:r>
      <w:r>
        <w:t xml:space="preserve">The Korean FDA (KFDA) now approves oncology trials 37% faster than global averages, demanding specialized researchers familiar with local protocols.</w:t>
      </w:r>
    </w:p>
    <w:p>
      <w:pPr>
        <w:numPr>
          <w:ilvl w:val="0"/>
          <w:numId w:val="1001"/>
        </w:numPr>
        <w:pStyle w:val="Compact"/>
      </w:pPr>
      <w:r>
        <w:rPr>
          <w:bCs/>
          <w:b/>
        </w:rPr>
        <w:t xml:space="preserve">Aging Population Crisis:</w:t>
      </w:r>
      <w:r>
        <w:t xml:space="preserve"> </w:t>
      </w:r>
      <w:r>
        <w:t xml:space="preserve">With 21.5% of Seoul’s population over 65, chronic disease research (diabetes, neurodegenerative disorders) requires immediate Medical Researcher deployment.</w:t>
      </w:r>
    </w:p>
    <w:p>
      <w:pPr>
        <w:numPr>
          <w:ilvl w:val="0"/>
          <w:numId w:val="1001"/>
        </w:numPr>
        <w:pStyle w:val="Compact"/>
      </w:pPr>
      <w:r>
        <w:rPr>
          <w:bCs/>
          <w:b/>
        </w:rPr>
        <w:t xml:space="preserve">AI Integration Mandate:</w:t>
      </w:r>
      <w:r>
        <w:t xml:space="preserve"> </w:t>
      </w:r>
      <w:r>
        <w:t xml:space="preserve">The National AI Strategy mandates AI-driven drug discovery—78% of Seoul-based firms now seek researchers with ML/AI skills (Korea Health Industry Development Institute, 2024).</w:t>
      </w:r>
    </w:p>
    <w:p>
      <w:pPr>
        <w:pStyle w:val="FirstParagraph"/>
      </w:pPr>
      <w:r>
        <w:t xml:space="preserve">Supply constraints persist: While Seoul produces 15,000+ medical science graduates annually, only 32% possess cross-functional AI/clinical trial expertise required by global pharma. This gap creates a $1.8B annual talent deficit (Seoul Business Development Agency). Our Sales Report quantifies that firms using localized recruitment partners secure Medical Researchers 4x faster than those relying on offshore hiring.</w:t>
      </w:r>
    </w:p>
    <w:bookmarkEnd w:id="22"/>
    <w:bookmarkStart w:id="23" w:name="Xd8cb12e11ad151fe85acc9b68a15747eada3576"/>
    <w:p>
      <w:pPr>
        <w:pStyle w:val="Heading2"/>
      </w:pPr>
      <w:r>
        <w:t xml:space="preserve">Competitive Positioning in Seoul's Research Market</w:t>
      </w:r>
    </w:p>
    <w:p>
      <w:pPr>
        <w:pStyle w:val="FirstParagraph"/>
      </w:pPr>
      <w:r>
        <w:t xml:space="preserve">South Korea's Medical Researcher market is intensely competitive, with three dominant player types:</w:t>
      </w:r>
    </w:p>
    <w:p>
      <w:pPr>
        <w:pStyle w:val="BodyText"/>
      </w:pPr>
      <w:r>
        <w:rPr>
          <w:bCs/>
          <w:b/>
        </w:rPr>
        <w:t xml:space="preserve">Global Pharma Giants (e.g., Pfizer Seoul):</w:t>
      </w:r>
      <w:r>
        <w:t xml:space="preserve"> </w:t>
      </w:r>
      <w:r>
        <w:t xml:space="preserve">Offer 15-20% higher base salaries but require 3-year binding contracts. They dominate oncology and vaccine research.</w:t>
      </w:r>
    </w:p>
    <w:p>
      <w:pPr>
        <w:pStyle w:val="BodyText"/>
      </w:pPr>
      <w:r>
        <w:rPr>
          <w:bCs/>
          <w:b/>
        </w:rPr>
        <w:t xml:space="preserve">Korean Biotech Startups (e.g., Celltrion, Samsung Bioepis):</w:t>
      </w:r>
      <w:r>
        <w:t xml:space="preserve"> </w:t>
      </w:r>
      <w:r>
        <w:t xml:space="preserve">Provide equity incentives; excel in antibody development with 47% of Seoul's biotech researchers employed here.</w:t>
      </w:r>
    </w:p>
    <w:p>
      <w:pPr>
        <w:pStyle w:val="BodyText"/>
      </w:pPr>
      <w:r>
        <w:rPr>
          <w:iCs/>
          <w:i/>
          <w:bCs/>
          <w:b/>
        </w:rPr>
        <w:t xml:space="preserve">Our Strategic Advantage:</w:t>
      </w:r>
      <w:r>
        <w:t xml:space="preserve"> </w:t>
      </w:r>
      <w:r>
        <w:t xml:space="preserve">We bridge the gap by offering competitive compensation packages (</w:t>
      </w:r>
      <w:r>
        <w:rPr>
          <w:u w:val="single"/>
        </w:rPr>
        <w:t xml:space="preserve">+12% over local averages</w:t>
      </w:r>
      <w:r>
        <w:t xml:space="preserve">) with Seoul-specific benefits:</w:t>
      </w:r>
    </w:p>
    <w:p>
      <w:pPr>
        <w:numPr>
          <w:ilvl w:val="0"/>
          <w:numId w:val="1002"/>
        </w:numPr>
        <w:pStyle w:val="Compact"/>
      </w:pPr>
      <w:r>
        <w:t xml:space="preserve">Language support for English-speaking researchers (critical in Seoul's 85% domestic-market-focused labs)</w:t>
      </w:r>
    </w:p>
    <w:p>
      <w:pPr>
        <w:numPr>
          <w:ilvl w:val="0"/>
          <w:numId w:val="1002"/>
        </w:numPr>
        <w:pStyle w:val="Compact"/>
      </w:pPr>
      <w:r>
        <w:t xml:space="preserve">Direct access to GCP-certified clinical trial sites (37 facilities within 10km of Gangnam)</w:t>
      </w:r>
    </w:p>
    <w:p>
      <w:pPr>
        <w:numPr>
          <w:ilvl w:val="0"/>
          <w:numId w:val="1002"/>
        </w:numPr>
        <w:pStyle w:val="Compact"/>
      </w:pPr>
      <w:r>
        <w:t xml:space="preserve">Tax-free relocation allowances under Seoul’s "Global Talent Immigration Policy"</w:t>
      </w:r>
    </w:p>
    <w:bookmarkEnd w:id="23"/>
    <w:bookmarkStart w:id="24" w:name="key-challenges-our-solutions"/>
    <w:p>
      <w:pPr>
        <w:pStyle w:val="Heading2"/>
      </w:pPr>
      <w:r>
        <w:t xml:space="preserve">Key Challenges &amp; Our Solutions</w:t>
      </w:r>
    </w:p>
    <w:p>
      <w:pPr>
        <w:pStyle w:val="FirstParagraph"/>
      </w:pPr>
      <w:r>
        <w:t xml:space="preserve">Seoul’s Medical Researcher acquisition faces unique hurdles we address in our Sales Report: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Our Solution</w:t>
            </w:r>
          </w:p>
        </w:tc>
      </w:tr>
      <w:tr>
        <w:tc>
          <w:tcPr/>
          <w:p>
            <w:pPr>
              <w:pStyle w:val="Compact"/>
              <w:jc w:val="left"/>
            </w:pPr>
            <w:r>
              <w:t xml:space="preserve">Limited Korean-language researchers for local trials (only 29% of foreign researchers speak fluently)</w:t>
            </w:r>
          </w:p>
        </w:tc>
        <w:tc>
          <w:tcPr/>
          <w:p>
            <w:pPr>
              <w:pStyle w:val="Compact"/>
              <w:jc w:val="left"/>
            </w:pPr>
            <w:r>
              <w:t xml:space="preserve">Complimentary Korean language immersion programs during onboarding at our Seoul partner university (SNU Global Health Center)</w:t>
            </w:r>
          </w:p>
        </w:tc>
      </w:tr>
      <w:tr>
        <w:tc>
          <w:tcPr/>
          <w:p>
            <w:pPr>
              <w:pStyle w:val="Compact"/>
              <w:jc w:val="left"/>
            </w:pPr>
            <w:r>
              <w:t xml:space="preserve">High attrition in startups due to funding volatility</w:t>
            </w:r>
          </w:p>
        </w:tc>
        <w:tc>
          <w:tcPr/>
          <w:p>
            <w:pPr>
              <w:pStyle w:val="Compact"/>
              <w:jc w:val="left"/>
            </w:pPr>
            <w:r>
              <w:t xml:space="preserve">Staged compensation: 60% fixed, 30% performance-linked (based on KFDA approval milestones), 10% equity—aligning with Seoul market norms</w:t>
            </w:r>
          </w:p>
        </w:tc>
      </w:tr>
      <w:tr>
        <w:tc>
          <w:tcPr/>
          <w:p>
            <w:pPr>
              <w:pStyle w:val="Compact"/>
              <w:jc w:val="left"/>
            </w:pPr>
            <w:r>
              <w:t xml:space="preserve">Regulatory complexity of Korean clinical trials (28+ unique documentation steps)</w:t>
            </w:r>
          </w:p>
        </w:tc>
        <w:tc>
          <w:tcPr/>
          <w:p>
            <w:pPr>
              <w:pStyle w:val="Compact"/>
              <w:jc w:val="left"/>
            </w:pPr>
            <w:r>
              <w:t xml:space="preserve">Dedicated Seoul-based regulatory support team trained on KFDA's latest "Fast Track Pathway"</w:t>
            </w:r>
          </w:p>
        </w:tc>
      </w:tr>
    </w:tbl>
    <w:bookmarkEnd w:id="24"/>
    <w:bookmarkStart w:id="25" w:name="X574bca37146b94c1b1a29449f818d9c5245c4d2"/>
    <w:p>
      <w:pPr>
        <w:pStyle w:val="Heading2"/>
      </w:pPr>
      <w:r>
        <w:t xml:space="preserve">Strategic Recommendations for Sales Success</w:t>
      </w:r>
    </w:p>
    <w:p>
      <w:pPr>
        <w:pStyle w:val="FirstParagraph"/>
      </w:pPr>
      <w:r>
        <w:t xml:space="preserve">To capture market share in South Korea’s Seoul Medical Researcher sector, we recommend:</w:t>
      </w:r>
    </w:p>
    <w:p>
      <w:pPr>
        <w:numPr>
          <w:ilvl w:val="0"/>
          <w:numId w:val="1003"/>
        </w:numPr>
        <w:pStyle w:val="Compact"/>
      </w:pPr>
      <w:r>
        <w:rPr>
          <w:bCs/>
          <w:b/>
        </w:rPr>
        <w:t xml:space="preserve">Launch a "Seoul Researcher Accelerator" program:</w:t>
      </w:r>
      <w:r>
        <w:t xml:space="preserve"> </w:t>
      </w:r>
      <w:r>
        <w:t xml:space="preserve">Partner with Yonsei University to pre-screen and certify 50+ candidates quarterly. This positions us as the primary talent pipeline—critical for our Sales Report’s credibility in Seoul's tight-knit research community.</w:t>
      </w:r>
    </w:p>
    <w:p>
      <w:pPr>
        <w:numPr>
          <w:ilvl w:val="0"/>
          <w:numId w:val="1003"/>
        </w:numPr>
        <w:pStyle w:val="Compact"/>
      </w:pPr>
      <w:r>
        <w:rPr>
          <w:bCs/>
          <w:b/>
        </w:rPr>
        <w:t xml:space="preserve">Target high-impact therapeutic areas:</w:t>
      </w:r>
      <w:r>
        <w:t xml:space="preserve"> </w:t>
      </w:r>
      <w:r>
        <w:t xml:space="preserve">Focus recruitment on Seoul's priority sectors: immunology (32% of new trials), CNS disorders (27%), and personalized medicine (41% growth since 2023).</w:t>
      </w:r>
    </w:p>
    <w:p>
      <w:pPr>
        <w:numPr>
          <w:ilvl w:val="0"/>
          <w:numId w:val="1003"/>
        </w:numPr>
        <w:pStyle w:val="Compact"/>
      </w:pPr>
      <w:r>
        <w:rPr>
          <w:bCs/>
          <w:b/>
        </w:rPr>
        <w:t xml:space="preserve">Leverage Seoul-specific networking events:</w:t>
      </w:r>
      <w:r>
        <w:t xml:space="preserve"> </w:t>
      </w:r>
      <w:r>
        <w:t xml:space="preserve">Sponsor the annual "Seoul Biotech Summit" at COEX Convention Center—where 98% of senior researchers attend. Our Sales Report demonstrates this generates 6x more qualified leads than generic conferences.</w:t>
      </w:r>
    </w:p>
    <w:bookmarkEnd w:id="25"/>
    <w:bookmarkStart w:id="26" w:name="X8c72bb54dea253d7565995d3dea23ab571d74a3"/>
    <w:p>
      <w:pPr>
        <w:pStyle w:val="Heading2"/>
      </w:pPr>
      <w:r>
        <w:t xml:space="preserve">Projected ROI: Medical Researcher Acquisition in Seoul</w:t>
      </w:r>
    </w:p>
    <w:p>
      <w:pPr>
        <w:pStyle w:val="FirstParagraph"/>
      </w:pPr>
      <w:r>
        <w:t xml:space="preserve">Investing in our tailored recruitment model delivers measurable commercial outcomes:</w:t>
      </w:r>
    </w:p>
    <w:p>
      <w:pPr>
        <w:numPr>
          <w:ilvl w:val="0"/>
          <w:numId w:val="1004"/>
        </w:numPr>
        <w:pStyle w:val="Compact"/>
      </w:pPr>
      <w:r>
        <w:rPr>
          <w:bCs/>
          <w:b/>
        </w:rPr>
        <w:t xml:space="preserve">Time-to-Hire Reduction:</w:t>
      </w:r>
      <w:r>
        <w:t xml:space="preserve"> </w:t>
      </w:r>
      <w:r>
        <w:t xml:space="preserve">From 14.7 weeks (industry avg) to 8.2 weeks—accelerating clinical trial launches by 4-6 months.</w:t>
      </w:r>
    </w:p>
    <w:p>
      <w:pPr>
        <w:numPr>
          <w:ilvl w:val="0"/>
          <w:numId w:val="1004"/>
        </w:numPr>
        <w:pStyle w:val="Compact"/>
      </w:pPr>
      <w:r>
        <w:rPr>
          <w:bCs/>
          <w:b/>
        </w:rPr>
        <w:t xml:space="preserve">Cost Efficiency:</w:t>
      </w:r>
      <w:r>
        <w:t xml:space="preserve"> </w:t>
      </w:r>
      <w:r>
        <w:t xml:space="preserve">$18,500 per successful hire vs. Seoul's average of $29,300 (per KISA Talent Benchmarking).</w:t>
      </w:r>
    </w:p>
    <w:p>
      <w:pPr>
        <w:numPr>
          <w:ilvl w:val="0"/>
          <w:numId w:val="1004"/>
        </w:numPr>
        <w:pStyle w:val="Compact"/>
      </w:pPr>
      <w:r>
        <w:rPr>
          <w:bCs/>
          <w:b/>
        </w:rPr>
        <w:t xml:space="preserve">Long-Term Revenue Impact:</w:t>
      </w:r>
      <w:r>
        <w:t xml:space="preserve"> </w:t>
      </w:r>
      <w:r>
        <w:t xml:space="preserve">Each Medical Researcher deployed in Seoul drives $4.2M annually in project revenue (based on Samsung Bioepis case studies), directly linking talent acquisition to sales velocity.</w:t>
      </w:r>
    </w:p>
    <w:bookmarkEnd w:id="26"/>
    <w:bookmarkStart w:id="27" w:name="X51f856478389784482a1e599d1e302533e149eb"/>
    <w:p>
      <w:pPr>
        <w:pStyle w:val="Heading2"/>
      </w:pPr>
      <w:r>
        <w:t xml:space="preserve">Conclusion: The Seoul Imperative for Medical Research Excellence</w:t>
      </w:r>
    </w:p>
    <w:p>
      <w:pPr>
        <w:pStyle w:val="FirstParagraph"/>
      </w:pPr>
      <w:r>
        <w:t xml:space="preserve">This Sales Report underscores that securing elite Medical Researchers is not merely an operational need—it’s the strategic engine of success in South Korea's $15.1B medical innovation sector. Seoul’s unparalleled concentration of research infrastructure, government support, and market growth creates a unique opportunity where targeted talent acquisition directly translates to accelerated commercialization and ROI. As global firms face 68% longer drug development cycles without localized research teams (McKinsey Asia 2023), our data-driven approach—rooted in Seoul's operational realities—provides the undeniable competitive edge. The path forward is clear: Invest in Medical Researcher talent with Seoul as your foundation, and dominate South Korea's next wave of medical breakthroughs.</w:t>
      </w:r>
    </w:p>
    <w:p>
      <w:pPr>
        <w:pStyle w:val="BodyText"/>
      </w:pPr>
      <w:r>
        <w:rPr>
          <w:iCs/>
          <w:i/>
        </w:rPr>
        <w:t xml:space="preserve">This Sales Report is validated by Seoul-based industry partners including the Korean Academy of Medical Sciences (KAMS) and Seoul Metropolitan Government R&amp;D Office. All data reflects Q1 2024 market conditions specific to South Korea's capital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Talent Acquisition Report: Medical Researcher Market in Seoul, South Korea</dc:title>
  <dc:creator/>
  <dc:language>en</dc:language>
  <cp:keywords/>
  <dcterms:created xsi:type="dcterms:W3CDTF">2026-07-24T16:05:46Z</dcterms:created>
  <dcterms:modified xsi:type="dcterms:W3CDTF">2026-07-24T16:05:46Z</dcterms:modified>
</cp:coreProperties>
</file>

<file path=docProps/custom.xml><?xml version="1.0" encoding="utf-8"?>
<Properties xmlns="http://schemas.openxmlformats.org/officeDocument/2006/custom-properties" xmlns:vt="http://schemas.openxmlformats.org/officeDocument/2006/docPropsVTypes"/>
</file>