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Performance</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80aa1954627700c9fbddce3443dee3850ee9252"/>
    <w:p>
      <w:pPr>
        <w:pStyle w:val="Heading1"/>
      </w:pPr>
      <w:r>
        <w:t xml:space="preserve">Comprehensive Sales Report: Medical Researcher Performance Analysis for Sri Lanka Colombo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Healthcare Solutions Division</w:t>
      </w:r>
      <w:r>
        <w:br/>
      </w:r>
      <w:r>
        <w:rPr>
          <w:bCs/>
          <w:b/>
        </w:rPr>
        <w:t xml:space="preserve">Location:</w:t>
      </w:r>
      <w:r>
        <w:t xml:space="preserve"> </w:t>
      </w:r>
      <w:r>
        <w:t xml:space="preserve">Sri Lanka Colombo</w:t>
      </w:r>
    </w:p>
    <w:bookmarkStart w:id="20" w:name="executive-summary"/>
    <w:p>
      <w:pPr>
        <w:pStyle w:val="Heading2"/>
      </w:pPr>
      <w:r>
        <w:t xml:space="preserve">Executive Summary</w:t>
      </w:r>
    </w:p>
    <w:p>
      <w:pPr>
        <w:pStyle w:val="FirstParagraph"/>
      </w:pPr>
      <w:r>
        <w:t xml:space="preserve">This Sales Report provides an in-depth analysis of the performance metrics and strategic initiatives executed by our Medical Researcher team within the Sri Lanka Colombo market. As a pivotal hub for pharmaceutical innovation in South Asia, Colombo presents unique opportunities and challenges that demand specialized expertise. The Medical Researcher role has evolved beyond traditional research to become a critical sales catalyst, directly influencing market penetration and revenue growth. This document synthesizes Q3 2023 performance data, highlighting how our Medical Researchers have driven exceptional results across Sri Lanka Colombo's competitive healthcare landscape.</w:t>
      </w:r>
    </w:p>
    <w:bookmarkEnd w:id="20"/>
    <w:bookmarkStart w:id="21" w:name="X370a8c75c4ecc826afe40ea487500d4b6a88055"/>
    <w:p>
      <w:pPr>
        <w:pStyle w:val="Heading2"/>
      </w:pPr>
      <w:r>
        <w:t xml:space="preserve">Market Context: Sri Lanka Colombo as a Strategic Healthcare Nexus</w:t>
      </w:r>
    </w:p>
    <w:p>
      <w:pPr>
        <w:pStyle w:val="FirstParagraph"/>
      </w:pPr>
      <w:r>
        <w:t xml:space="preserve">Sri Lanka Colombo serves as the economic and medical research epicenter of South Asia, hosting 68% of the nation's clinical trials and 53 major pharmaceutical R&amp;D facilities. The market is characterized by rapid digital adoption in healthcare, government-driven universal health coverage initiatives (UHC), and rising demand for locally adapted therapeutics. In this dynamic environment, the Medical Researcher role has become indispensable for translating scientific innovation into commercial success. Unlike generic sales representatives, our Medical Researchers possess dual expertise in clinical science and market strategy – a differentiation that directly fuels our competitive advantage in Sri Lanka Colombo.</w:t>
      </w:r>
    </w:p>
    <w:bookmarkEnd w:id="21"/>
    <w:bookmarkStart w:id="22" w:name="q3-2023-sales-performance-highlights"/>
    <w:p>
      <w:pPr>
        <w:pStyle w:val="Heading2"/>
      </w:pPr>
      <w:r>
        <w:t xml:space="preserve">Q3 2023 Sales Performance Highlights</w:t>
      </w:r>
    </w:p>
    <w:p>
      <w:pPr>
        <w:pStyle w:val="FirstParagraph"/>
      </w:pPr>
      <w:r>
        <w:t xml:space="preserve">The latest Sales Report confirms a 34% year-over-year revenue growth from the Colombo medical research division, significantly outperforming regional averages. Key metrics include:</w:t>
      </w:r>
    </w:p>
    <w:p>
      <w:pPr>
        <w:numPr>
          <w:ilvl w:val="0"/>
          <w:numId w:val="1001"/>
        </w:numPr>
        <w:pStyle w:val="Compact"/>
      </w:pPr>
      <w:r>
        <w:rPr>
          <w:bCs/>
          <w:b/>
        </w:rPr>
        <w:t xml:space="preserve">Product Portfolio Penetration:</w:t>
      </w:r>
      <w:r>
        <w:t xml:space="preserve"> </w:t>
      </w:r>
      <w:r>
        <w:t xml:space="preserve">41% market share in oncology therapeutics (vs. industry avg: 28%)</w:t>
      </w:r>
    </w:p>
    <w:p>
      <w:pPr>
        <w:numPr>
          <w:ilvl w:val="0"/>
          <w:numId w:val="1001"/>
        </w:numPr>
        <w:pStyle w:val="Compact"/>
      </w:pPr>
      <w:r>
        <w:rPr>
          <w:bCs/>
          <w:b/>
        </w:rPr>
        <w:t xml:space="preserve">Clinical Trial Recruitment:</w:t>
      </w:r>
      <w:r>
        <w:t xml:space="preserve"> </w:t>
      </w:r>
      <w:r>
        <w:t xml:space="preserve">230+ patients enrolled in Phase III trials – exceeding target by 37%</w:t>
      </w:r>
    </w:p>
    <w:p>
      <w:pPr>
        <w:numPr>
          <w:ilvl w:val="0"/>
          <w:numId w:val="1001"/>
        </w:numPr>
        <w:pStyle w:val="Compact"/>
      </w:pPr>
      <w:r>
        <w:rPr>
          <w:bCs/>
          <w:b/>
        </w:rPr>
        <w:t xml:space="preserve">Key Account Growth:</w:t>
      </w:r>
      <w:r>
        <w:t xml:space="preserve"> </w:t>
      </w:r>
      <w:r>
        <w:t xml:space="preserve">19 new hospital partnerships established with Colombo's top-tier institutions (National Hospital, Karapitiya Teaching Hospital)</w:t>
      </w:r>
    </w:p>
    <w:p>
      <w:pPr>
        <w:numPr>
          <w:ilvl w:val="0"/>
          <w:numId w:val="1001"/>
        </w:numPr>
        <w:pStyle w:val="Compact"/>
      </w:pPr>
      <w:r>
        <w:rPr>
          <w:bCs/>
          <w:b/>
        </w:rPr>
        <w:t xml:space="preserve">Sales Conversion Rate:</w:t>
      </w:r>
      <w:r>
        <w:t xml:space="preserve"> </w:t>
      </w:r>
      <w:r>
        <w:t xml:space="preserve">68% (industry benchmark: 42%) driven by Medical Researcher-led scientific engagements</w:t>
      </w:r>
    </w:p>
    <w:p>
      <w:pPr>
        <w:pStyle w:val="FirstParagraph"/>
      </w:pPr>
      <w:r>
        <w:t xml:space="preserve">The exceptional performance stems directly from our Medical Researchers' ability to bridge clinical evidence with commercial strategy. For instance, Dr. Anjali Perera (Lead Medical Researcher, Colombo) spearheaded a data-driven initiative demonstrating superior efficacy of our novel diabetes treatment in Sri Lankan metabolic profiles. This scientific validation directly contributed to a 22% revenue increase from Kandy-based regional hospitals – a region previously resistant to our product line.</w:t>
      </w:r>
    </w:p>
    <w:bookmarkEnd w:id="22"/>
    <w:bookmarkStart w:id="23" w:name="Xbe42cc3a9bde9b31f23bb4c521de4a33967abae"/>
    <w:p>
      <w:pPr>
        <w:pStyle w:val="Heading2"/>
      </w:pPr>
      <w:r>
        <w:t xml:space="preserve">Medical Researcher: The Catalyst for Commercial Success</w:t>
      </w:r>
    </w:p>
    <w:p>
      <w:pPr>
        <w:pStyle w:val="FirstParagraph"/>
      </w:pPr>
      <w:r>
        <w:t xml:space="preserve">In Sri Lanka Colombo, the Medical Researcher role has transformed from a support function into our primary sales engine. Our researchers don't just present data – they co-create solutions with healthcare providers. This is exemplified by:</w:t>
      </w:r>
    </w:p>
    <w:p>
      <w:pPr>
        <w:numPr>
          <w:ilvl w:val="0"/>
          <w:numId w:val="1002"/>
        </w:numPr>
        <w:pStyle w:val="Compact"/>
      </w:pPr>
      <w:r>
        <w:rPr>
          <w:bCs/>
          <w:b/>
        </w:rPr>
        <w:t xml:space="preserve">Customized Clinical Evidence Generation:</w:t>
      </w:r>
      <w:r>
        <w:t xml:space="preserve"> </w:t>
      </w:r>
      <w:r>
        <w:t xml:space="preserve">Developing local studies validating drug efficacy in Sri Lankan patient populations (e.g., dengue-comorbidity trials)</w:t>
      </w:r>
    </w:p>
    <w:p>
      <w:pPr>
        <w:numPr>
          <w:ilvl w:val="0"/>
          <w:numId w:val="1002"/>
        </w:numPr>
        <w:pStyle w:val="Compact"/>
      </w:pPr>
      <w:r>
        <w:rPr>
          <w:bCs/>
          <w:b/>
        </w:rPr>
        <w:t xml:space="preserve">Regulatory Navigation Expertise:</w:t>
      </w:r>
      <w:r>
        <w:t xml:space="preserve"> </w:t>
      </w:r>
      <w:r>
        <w:t xml:space="preserve">Successfully securing TGA approvals for 4 new indications within 8 months – accelerating market access</w:t>
      </w:r>
    </w:p>
    <w:p>
      <w:pPr>
        <w:numPr>
          <w:ilvl w:val="0"/>
          <w:numId w:val="1002"/>
        </w:numPr>
        <w:pStyle w:val="Compact"/>
      </w:pPr>
      <w:r>
        <w:rPr>
          <w:bCs/>
          <w:b/>
        </w:rPr>
        <w:t xml:space="preserve">Educational Leadership:</w:t>
      </w:r>
      <w:r>
        <w:t xml:space="preserve"> </w:t>
      </w:r>
      <w:r>
        <w:t xml:space="preserve">Conducting 120+ physician workshops across Colombo, directly influencing prescription patterns</w:t>
      </w:r>
    </w:p>
    <w:p>
      <w:pPr>
        <w:pStyle w:val="FirstParagraph"/>
      </w:pPr>
      <w:r>
        <w:t xml:space="preserve">The Sales Report underscores that accounts serviced by Medical Researchers show 3.2x higher product retention rates than those handled solely by commercial teams. This demonstrates how scientific credibility directly translates to commercial value in Sri Lanka Colombo's evidence-driven healthcare system.</w:t>
      </w:r>
    </w:p>
    <w:bookmarkEnd w:id="23"/>
    <w:bookmarkStart w:id="24" w:name="Xbd5dcd70f0473051f6a72c588745b2b261cc6e3"/>
    <w:p>
      <w:pPr>
        <w:pStyle w:val="Heading2"/>
      </w:pPr>
      <w:r>
        <w:t xml:space="preserve">Challenges Unique to Sri Lanka Colombo Market</w:t>
      </w:r>
    </w:p>
    <w:p>
      <w:pPr>
        <w:pStyle w:val="FirstParagraph"/>
      </w:pPr>
      <w:r>
        <w:t xml:space="preserve">Despite strong performance, the Sales Report identifies critical market-specific challenges requiring Medical Researcher intervention:</w:t>
      </w:r>
    </w:p>
    <w:p>
      <w:pPr>
        <w:numPr>
          <w:ilvl w:val="0"/>
          <w:numId w:val="1003"/>
        </w:numPr>
        <w:pStyle w:val="Compact"/>
      </w:pPr>
      <w:r>
        <w:rPr>
          <w:bCs/>
          <w:b/>
        </w:rPr>
        <w:t xml:space="preserve">Regulatory Fragmentation:</w:t>
      </w:r>
      <w:r>
        <w:t xml:space="preserve"> </w:t>
      </w:r>
      <w:r>
        <w:t xml:space="preserve">17+ varying approval pathways across Sri Lankan districts – addressed by Medical Researchers developing standardized clinical protocols</w:t>
      </w:r>
    </w:p>
    <w:p>
      <w:pPr>
        <w:numPr>
          <w:ilvl w:val="0"/>
          <w:numId w:val="1003"/>
        </w:numPr>
        <w:pStyle w:val="Compact"/>
      </w:pPr>
      <w:r>
        <w:rPr>
          <w:bCs/>
          <w:b/>
        </w:rPr>
        <w:t xml:space="preserve">Cultural Nuances:</w:t>
      </w:r>
      <w:r>
        <w:t xml:space="preserve"> </w:t>
      </w:r>
      <w:r>
        <w:t xml:space="preserve">Traditional medicine integration requires scientific dialogue – our Colombo-based researchers created co-therapy frameworks accepted by 65% of local clinics</w:t>
      </w:r>
    </w:p>
    <w:p>
      <w:pPr>
        <w:numPr>
          <w:ilvl w:val="0"/>
          <w:numId w:val="1003"/>
        </w:numPr>
        <w:pStyle w:val="Compact"/>
      </w:pPr>
      <w:r>
        <w:rPr>
          <w:bCs/>
          <w:b/>
        </w:rPr>
        <w:t xml:space="preserve">Digital Infrastructure Gaps:</w:t>
      </w:r>
      <w:r>
        <w:t xml:space="preserve"> </w:t>
      </w:r>
      <w:r>
        <w:t xml:space="preserve">Low EHR interoperability – solved through Medical Researchers designing paper-to-digital data capture systems for rural hospitals</w:t>
      </w:r>
    </w:p>
    <w:p>
      <w:pPr>
        <w:pStyle w:val="FirstParagraph"/>
      </w:pPr>
      <w:r>
        <w:t xml:space="preserve">These challenges highlight why a generic sales approach fails in Sri Lanka Colombo. The Medical Researcher's scientific training enables nuanced problem-solving that drives sustainable growth where competitors falter.</w:t>
      </w:r>
    </w:p>
    <w:bookmarkEnd w:id="24"/>
    <w:bookmarkStart w:id="25" w:name="Xc5c7eb51a2698651074e36263db0441d6e3c170"/>
    <w:p>
      <w:pPr>
        <w:pStyle w:val="Heading2"/>
      </w:pPr>
      <w:r>
        <w:t xml:space="preserve">Strategic Recommendations for Future Growth</w:t>
      </w:r>
    </w:p>
    <w:p>
      <w:pPr>
        <w:pStyle w:val="FirstParagraph"/>
      </w:pPr>
      <w:r>
        <w:t xml:space="preserve">This Sales Report concludes with data-backed recommendations to amplify Medical Researcher impact across Sri Lanka Colombo:</w:t>
      </w:r>
    </w:p>
    <w:p>
      <w:pPr>
        <w:numPr>
          <w:ilvl w:val="0"/>
          <w:numId w:val="1004"/>
        </w:numPr>
        <w:pStyle w:val="Compact"/>
      </w:pPr>
      <w:r>
        <w:rPr>
          <w:bCs/>
          <w:b/>
        </w:rPr>
        <w:t xml:space="preserve">Local Talent Development Program:</w:t>
      </w:r>
      <w:r>
        <w:t xml:space="preserve"> </w:t>
      </w:r>
      <w:r>
        <w:t xml:space="preserve">Establish a 12-month fellowship at Colombo University to train 50+ Sri Lankan researchers annually – addressing the critical talent gap in clinical research</w:t>
      </w:r>
    </w:p>
    <w:p>
      <w:pPr>
        <w:numPr>
          <w:ilvl w:val="0"/>
          <w:numId w:val="1004"/>
        </w:numPr>
        <w:pStyle w:val="Compact"/>
      </w:pPr>
      <w:r>
        <w:rPr>
          <w:bCs/>
          <w:b/>
        </w:rPr>
        <w:t xml:space="preserve">Digital Research Platform Investment:</w:t>
      </w:r>
      <w:r>
        <w:t xml:space="preserve"> </w:t>
      </w:r>
      <w:r>
        <w:t xml:space="preserve">Allocate $1.2M for AI-driven patient recruitment tools tailored to Sri Lanka's healthcare infrastructure</w:t>
      </w:r>
    </w:p>
    <w:p>
      <w:pPr>
        <w:numPr>
          <w:ilvl w:val="0"/>
          <w:numId w:val="1004"/>
        </w:numPr>
        <w:pStyle w:val="Compact"/>
      </w:pPr>
      <w:r>
        <w:rPr>
          <w:bCs/>
          <w:b/>
        </w:rPr>
        <w:t xml:space="preserve">UHC Partnership Framework:</w:t>
      </w:r>
      <w:r>
        <w:t xml:space="preserve"> </w:t>
      </w:r>
      <w:r>
        <w:t xml:space="preserve">Co-develop with Ministry of Health to position our Medical Researchers as UHC implementation specialists, targeting 40% market share in public hospitals by 2025</w:t>
      </w:r>
    </w:p>
    <w:p>
      <w:pPr>
        <w:numPr>
          <w:ilvl w:val="0"/>
          <w:numId w:val="1004"/>
        </w:numPr>
        <w:pStyle w:val="Compact"/>
      </w:pPr>
      <w:r>
        <w:rPr>
          <w:bCs/>
          <w:b/>
        </w:rPr>
        <w:t xml:space="preserve">Clinical Evidence Hub:</w:t>
      </w:r>
      <w:r>
        <w:t xml:space="preserve"> </w:t>
      </w:r>
      <w:r>
        <w:t xml:space="preserve">Create Colombo-based center for rapid real-world evidence generation – reducing drug approval timelines by 33%</w:t>
      </w:r>
    </w:p>
    <w:bookmarkEnd w:id="25"/>
    <w:bookmarkStart w:id="26" w:name="X376e1e481304155652cd09c5cd6a26ba7df1f8c"/>
    <w:p>
      <w:pPr>
        <w:pStyle w:val="Heading2"/>
      </w:pPr>
      <w:r>
        <w:t xml:space="preserve">Conclusion: The Medical Researcher as Sri Lanka Colombo's Commercial Differentiator</w:t>
      </w:r>
    </w:p>
    <w:p>
      <w:pPr>
        <w:pStyle w:val="FirstParagraph"/>
      </w:pPr>
      <w:r>
        <w:t xml:space="preserve">This Sales Report unequivocally demonstrates that in the complex Sri Lanka Colombo healthcare ecosystem, the Medical Researcher is not merely a support role but the cornerstone of our commercial strategy. The 34% revenue growth in Q3 isn't coincidental – it's the direct result of Scientific Sales Excellence implemented by our Medical Researchers. As we navigate Sri Lanka's ambitious digital health transformation and UHC expansion, this specialized role will become even more critical.</w:t>
      </w:r>
    </w:p>
    <w:p>
      <w:pPr>
        <w:pStyle w:val="BodyText"/>
      </w:pPr>
      <w:r>
        <w:t xml:space="preserve">Looking forward, our investment in Medical Researcher capabilities within Sri Lanka Colombo represents the highest-impact opportunity to dominate South Asian markets. The Sales Report confirms that for every dollar invested in enhancing Medical Researcher competencies, we achieve $3.80 in market revenue – a return unmatched by any other sales strategy. This isn't just a Sales Report; it's a blueprint for sustainable leadership where scientific rigor and commercial acumen converge – defining the future of healthcare innovation in Sri Lanka Colombo.</w:t>
      </w:r>
    </w:p>
    <w:p>
      <w:pPr>
        <w:pStyle w:val="BodyText"/>
      </w:pPr>
      <w:r>
        <w:rPr>
          <w:bCs/>
          <w:b/>
        </w:rPr>
        <w:t xml:space="preserve">Prepared By:</w:t>
      </w:r>
      <w:r>
        <w:t xml:space="preserve"> </w:t>
      </w:r>
      <w:r>
        <w:t xml:space="preserve">Global Healthcare Solutions Sales Intelligence Unit</w:t>
      </w:r>
      <w:r>
        <w:br/>
      </w:r>
      <w:r>
        <w:rPr>
          <w:bCs/>
          <w:b/>
        </w:rPr>
        <w:t xml:space="preserve">Verified Against:</w:t>
      </w:r>
      <w:r>
        <w:t xml:space="preserve"> </w:t>
      </w:r>
      <w:r>
        <w:t xml:space="preserve">Sri Lanka Medical Council Data, Ministry of Health Annual Report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Performance in Sri Lanka Colombo</dc:title>
  <dc:creator/>
  <dc:language>en</dc:language>
  <cp:keywords/>
  <dcterms:created xsi:type="dcterms:W3CDTF">2026-09-28T07:05:28Z</dcterms:created>
  <dcterms:modified xsi:type="dcterms:W3CDTF">2026-09-28T07:05:28Z</dcterms:modified>
</cp:coreProperties>
</file>

<file path=docProps/custom.xml><?xml version="1.0" encoding="utf-8"?>
<Properties xmlns="http://schemas.openxmlformats.org/officeDocument/2006/custom-properties" xmlns:vt="http://schemas.openxmlformats.org/officeDocument/2006/docPropsVTypes"/>
</file>