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Turkey</w:t>
      </w:r>
      <w:r>
        <w:t xml:space="preserve"> </w:t>
      </w:r>
      <w:r>
        <w:t xml:space="preserve">Ankara</w:t>
      </w:r>
    </w:p>
    <w:bookmarkStart w:id="28" w:name="X8b0ffd0909590a13a39b261d3d3c73b5d2990ca"/>
    <w:p>
      <w:pPr>
        <w:pStyle w:val="Heading1"/>
      </w:pPr>
      <w:r>
        <w:t xml:space="preserve">Sales Report: Medical Researcher Performance Analysis in Turkey Ankara Market (Q3 2023)</w:t>
      </w:r>
    </w:p>
    <w:bookmarkStart w:id="20" w:name="executive-summary"/>
    <w:p>
      <w:pPr>
        <w:pStyle w:val="Heading2"/>
      </w:pPr>
      <w:r>
        <w:t xml:space="preserve">Executive Summary</w:t>
      </w:r>
    </w:p>
    <w:p>
      <w:pPr>
        <w:pStyle w:val="FirstParagraph"/>
      </w:pPr>
      <w:r>
        <w:t xml:space="preserve">This comprehensive Sales Report details the performance of our Medical Researcher team operating within Ankara, Turkey. The report demonstrates how strategic medical research initiatives have directly driven revenue growth for our biopharmaceutical services across the Turkish market. With Ankara serving as the administrative and research hub for Turkey's healthcare sector, this document highlights critical metrics where Medical Researcher expertise translated into tangible sales outcomes. Our findings confirm that specialized medical researchers are not just scientific assets but pivotal revenue generators in Turkey's competitive pharmaceutical landscape.</w:t>
      </w:r>
    </w:p>
    <w:bookmarkEnd w:id="20"/>
    <w:bookmarkStart w:id="21" w:name="X490c7f87d673cd67db43196270505d41f749320"/>
    <w:p>
      <w:pPr>
        <w:pStyle w:val="Heading2"/>
      </w:pPr>
      <w:r>
        <w:t xml:space="preserve">Market Context: Turkey Ankara Healthcare Environment</w:t>
      </w:r>
    </w:p>
    <w:p>
      <w:pPr>
        <w:pStyle w:val="FirstParagraph"/>
      </w:pPr>
      <w:r>
        <w:t xml:space="preserve">Ankara represents the epicenter of medical innovation in Turkey, housing 68% of national research institutions and 45 major clinical trial centers. The Turkish Ministry of Health's recent "Health Innovation 2030" initiative has created a $1.2B market opportunity for specialized medical research services. This report focuses exclusively on our Medical Researcher activities within this Ankara-based ecosystem, where we've established strategic partnerships with Hacettepe University Hospital, Ankara University Medical Center, and the Turkish Drug Agency (TÜRKFARMA).</w:t>
      </w:r>
    </w:p>
    <w:bookmarkEnd w:id="21"/>
    <w:bookmarkStart w:id="22" w:name="key-sales-performance-metrics-q3-2023"/>
    <w:p>
      <w:pPr>
        <w:pStyle w:val="Heading2"/>
      </w:pPr>
      <w:r>
        <w:t xml:space="preserve">Key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Medical Researcher-Generated Revenue (₺)</w:t>
      </w:r>
    </w:p>
    <w:p>
      <w:pPr>
        <w:pStyle w:val="BodyText"/>
      </w:pPr>
      <w:r>
        <w:t xml:space="preserve">18,450,000</w:t>
      </w:r>
    </w:p>
    <w:p>
      <w:pPr>
        <w:pStyle w:val="BodyText"/>
      </w:pPr>
      <w:r>
        <w:t xml:space="preserve">14,780,000</w:t>
      </w:r>
    </w:p>
    <w:p>
      <w:pPr>
        <w:pStyle w:val="BodyText"/>
      </w:pPr>
      <w:r>
        <w:t xml:space="preserve">+24.8%</w:t>
      </w:r>
    </w:p>
    <w:p>
      <w:pPr>
        <w:pStyle w:val="BodyText"/>
      </w:pPr>
      <w:r>
        <w:t xml:space="preserve">New Client Acquisition (Ankara)</w:t>
      </w:r>
    </w:p>
    <w:p>
      <w:pPr>
        <w:pStyle w:val="BodyText"/>
      </w:pPr>
      <w:r>
        <w:t xml:space="preserve">12</w:t>
      </w:r>
    </w:p>
    <w:p>
      <w:pPr>
        <w:pStyle w:val="BodyText"/>
      </w:pPr>
      <w:r>
        <w:t xml:space="preserve">Includes 5 new pharmaceutical partners</w:t>
      </w:r>
    </w:p>
    <w:p>
      <w:pPr>
        <w:pStyle w:val="BodyText"/>
      </w:pPr>
      <w:r>
        <w:t xml:space="preserve">Our Medical Researchers in Ankara achieved a 24.8% revenue increase quarter-over-quarter, significantly outperforming the national healthcare services average of 9.3%. This growth is directly attributable to three key initiatives: (1) Designing localized clinical trials for Turkish patient demographics, (2) Developing regulatory strategy documents for TÜRKFARMA submissions, and (3) Conducting market research that identified unmet needs in Ankara's oncology segment.</w:t>
      </w:r>
    </w:p>
    <w:bookmarkEnd w:id="22"/>
    <w:bookmarkStart w:id="23" w:name="Xc72b668484b557cbf4f499a1520c97415e67fe0"/>
    <w:p>
      <w:pPr>
        <w:pStyle w:val="Heading2"/>
      </w:pPr>
      <w:r>
        <w:t xml:space="preserve">Medical Researcher Impact on Sales Pipeline</w:t>
      </w:r>
    </w:p>
    <w:p>
      <w:pPr>
        <w:pStyle w:val="FirstParagraph"/>
      </w:pPr>
      <w:r>
        <w:t xml:space="preserve">The role of the Medical Researcher has evolved beyond traditional scientific functions to become a revenue catalyst. In Turkey Ankara specifically, our researchers have demonstrated:</w:t>
      </w:r>
    </w:p>
    <w:p>
      <w:pPr>
        <w:numPr>
          <w:ilvl w:val="0"/>
          <w:numId w:val="1001"/>
        </w:numPr>
        <w:pStyle w:val="Compact"/>
      </w:pPr>
      <w:r>
        <w:rPr>
          <w:bCs/>
          <w:b/>
        </w:rPr>
        <w:t xml:space="preserve">Regulatory Navigation:</w:t>
      </w:r>
      <w:r>
        <w:t xml:space="preserve"> </w:t>
      </w:r>
      <w:r>
        <w:t xml:space="preserve">Medical Researchers reduced TÜRKFARMA approval timelines by 37% through precise clinical data packaging, directly accelerating client product launches and generating €2.1M in additional sales.</w:t>
      </w:r>
    </w:p>
    <w:p>
      <w:pPr>
        <w:numPr>
          <w:ilvl w:val="0"/>
          <w:numId w:val="1001"/>
        </w:numPr>
        <w:pStyle w:val="Compact"/>
      </w:pPr>
      <w:r>
        <w:rPr>
          <w:bCs/>
          <w:b/>
        </w:rPr>
        <w:t xml:space="preserve">Client Trust Building:</w:t>
      </w:r>
      <w:r>
        <w:t xml:space="preserve"> </w:t>
      </w:r>
      <w:r>
        <w:t xml:space="preserve">89% of new contracts originated from Medical Researcher-led scientific consultations at Ankara's healthcare summits (e.g., Turkish Pharmaceutical Congress), where they presented data on Turkey-specific disease prevalence.</w:t>
      </w:r>
    </w:p>
    <w:p>
      <w:pPr>
        <w:numPr>
          <w:ilvl w:val="0"/>
          <w:numId w:val="1001"/>
        </w:numPr>
        <w:pStyle w:val="Compact"/>
      </w:pPr>
      <w:r>
        <w:rPr>
          <w:bCs/>
          <w:b/>
        </w:rPr>
        <w:t xml:space="preserve">Product Positioning:</w:t>
      </w:r>
      <w:r>
        <w:t xml:space="preserve"> </w:t>
      </w:r>
      <w:r>
        <w:t xml:space="preserve">By analyzing Ankara hospital usage patterns, our researchers identified a 32% underserved market in pediatric oncology drugs, leading to a €1.8M contract with Novartis Turkey for targeted trials.</w:t>
      </w:r>
    </w:p>
    <w:bookmarkEnd w:id="23"/>
    <w:bookmarkStart w:id="24" w:name="turkey-ankara-market-analysis"/>
    <w:p>
      <w:pPr>
        <w:pStyle w:val="Heading2"/>
      </w:pPr>
      <w:r>
        <w:t xml:space="preserve">Turkey Ankara Market Analysis</w:t>
      </w:r>
    </w:p>
    <w:p>
      <w:pPr>
        <w:pStyle w:val="FirstParagraph"/>
      </w:pPr>
      <w:r>
        <w:t xml:space="preserve">Ankara's unique position as the capital gives us strategic advantages for Medical Researcher operations:</w:t>
      </w:r>
    </w:p>
    <w:p>
      <w:pPr>
        <w:pStyle w:val="BlockText"/>
      </w:pPr>
      <w:r>
        <w:t xml:space="preserve">"Ankara isn't just another city—it's where Turkish healthcare policy is forged. Our Medical Researchers embed themselves in Ministry working groups, making them indispensable to clients navigating regulatory landscapes." - Dr. Elif Karataş, Head of Research (Ankara)</w:t>
      </w:r>
    </w:p>
    <w:p>
      <w:pPr>
        <w:pStyle w:val="FirstParagraph"/>
      </w:pPr>
      <w:r>
        <w:t xml:space="preserve">The city's concentration of research hospitals (including 3 national cancer centers) allows Medical Researchers to collect real-time clinical data that informs both scientific validity and sales strategies. Our Q3 report shows that Ankara-based Medical Researchers achieved a 68% client retention rate—27 points above the national average—proving their value in building long-term revenue streams.</w:t>
      </w:r>
    </w:p>
    <w:bookmarkEnd w:id="24"/>
    <w:bookmarkStart w:id="25" w:name="challenges-strategic-adjustments"/>
    <w:p>
      <w:pPr>
        <w:pStyle w:val="Heading2"/>
      </w:pPr>
      <w:r>
        <w:t xml:space="preserve">Challenges &amp; Strategic Adjustments</w:t>
      </w:r>
    </w:p>
    <w:p>
      <w:pPr>
        <w:pStyle w:val="FirstParagraph"/>
      </w:pPr>
      <w:r>
        <w:t xml:space="preserve">While performance was strong, we identified two critical challenges requiring Medical Researcher adaptation:</w:t>
      </w:r>
    </w:p>
    <w:p>
      <w:pPr>
        <w:numPr>
          <w:ilvl w:val="0"/>
          <w:numId w:val="1002"/>
        </w:numPr>
        <w:pStyle w:val="Compact"/>
      </w:pPr>
      <w:r>
        <w:rPr>
          <w:bCs/>
          <w:b/>
        </w:rPr>
        <w:t xml:space="preserve">Regulatory Complexity:</w:t>
      </w:r>
      <w:r>
        <w:t xml:space="preserve"> </w:t>
      </w:r>
      <w:r>
        <w:t xml:space="preserve">Turkish medical device regulations changed 3 times during Q3. Our Ankara Medical Researchers developed a dynamic compliance dashboard that reduced client onboarding time by 41%, directly preventing $750K in potential sales loss.</w:t>
      </w:r>
    </w:p>
    <w:p>
      <w:pPr>
        <w:numPr>
          <w:ilvl w:val="0"/>
          <w:numId w:val="1002"/>
        </w:numPr>
        <w:pStyle w:val="Compact"/>
      </w:pPr>
      <w:r>
        <w:rPr>
          <w:bCs/>
          <w:b/>
        </w:rPr>
        <w:t xml:space="preserve">Talent Retention:</w:t>
      </w:r>
      <w:r>
        <w:t xml:space="preserve"> </w:t>
      </w:r>
      <w:r>
        <w:t xml:space="preserve">Competition for skilled Medical Researchers in Ankara increased by 22% YoY. We implemented an Ankara-specific retention program including housing subsidies and direct access to the Ministry of Health's clinical trial database, reducing researcher turnover from 18% to 7%.</w:t>
      </w:r>
    </w:p>
    <w:bookmarkEnd w:id="25"/>
    <w:bookmarkStart w:id="26" w:name="X984ccbda2464a776adfc0fe7e266fd3c1790cc0"/>
    <w:p>
      <w:pPr>
        <w:pStyle w:val="Heading2"/>
      </w:pPr>
      <w:r>
        <w:t xml:space="preserve">Future Sales Strategy: Medical Researcher Expansion in Turkey</w:t>
      </w:r>
    </w:p>
    <w:p>
      <w:pPr>
        <w:pStyle w:val="FirstParagraph"/>
      </w:pPr>
      <w:r>
        <w:t xml:space="preserve">Based on Q3 results, we're launching three Ankara-centric initiatives to scale our Medical Researcher-driven sales:</w:t>
      </w:r>
    </w:p>
    <w:p>
      <w:pPr>
        <w:numPr>
          <w:ilvl w:val="0"/>
          <w:numId w:val="1003"/>
        </w:numPr>
        <w:pStyle w:val="Compact"/>
      </w:pPr>
      <w:r>
        <w:rPr>
          <w:bCs/>
          <w:b/>
        </w:rPr>
        <w:t xml:space="preserve">Ankara Clinical Trial Accelerator:</w:t>
      </w:r>
      <w:r>
        <w:t xml:space="preserve"> </w:t>
      </w:r>
      <w:r>
        <w:t xml:space="preserve">Co-locating 3 Medical Researchers at Hacettepe University for real-time data analysis, targeting 25% faster trial completion and €3M additional revenue by Q1 2024.</w:t>
      </w:r>
    </w:p>
    <w:p>
      <w:pPr>
        <w:numPr>
          <w:ilvl w:val="0"/>
          <w:numId w:val="1003"/>
        </w:numPr>
        <w:pStyle w:val="Compact"/>
      </w:pPr>
      <w:r>
        <w:rPr>
          <w:bCs/>
          <w:b/>
        </w:rPr>
        <w:t xml:space="preserve">Turkish Research Ambassador Program:</w:t>
      </w:r>
      <w:r>
        <w:t xml:space="preserve"> </w:t>
      </w:r>
      <w:r>
        <w:t xml:space="preserve">Training Ankara-based Medical Researchers as client-facing scientific liaisons, with a goal to increase sales conversion rates by 35% through localized expertise.</w:t>
      </w:r>
    </w:p>
    <w:p>
      <w:pPr>
        <w:numPr>
          <w:ilvl w:val="0"/>
          <w:numId w:val="1003"/>
        </w:numPr>
        <w:pStyle w:val="Compact"/>
      </w:pPr>
      <w:r>
        <w:rPr>
          <w:bCs/>
          <w:b/>
        </w:rPr>
        <w:t xml:space="preserve">Regulatory Intelligence Hub:</w:t>
      </w:r>
      <w:r>
        <w:t xml:space="preserve"> </w:t>
      </w:r>
      <w:r>
        <w:t xml:space="preserve">Establishing an Ankara headquarters for our medical research team to monitor Turkish health policy changes, ensuring all sales strategies align with the latest Turkey government directives.</w:t>
      </w:r>
    </w:p>
    <w:bookmarkEnd w:id="26"/>
    <w:bookmarkStart w:id="27" w:name="Xe0cb2c3e5a004e31193aa3f717b229c322baa1a"/>
    <w:p>
      <w:pPr>
        <w:pStyle w:val="Heading2"/>
      </w:pPr>
      <w:r>
        <w:t xml:space="preserve">Conclusion: Medical Researcher as Revenue Engine</w:t>
      </w:r>
    </w:p>
    <w:p>
      <w:pPr>
        <w:pStyle w:val="FirstParagraph"/>
      </w:pPr>
      <w:r>
        <w:t xml:space="preserve">This Sales Report unequivocally demonstrates that in the Turkey Ankara market, Medical Researchers are not merely scientific staff—they are primary drivers of sustainable revenue growth. Our data shows every 1% increase in Medical Researcher productivity correlates with a 0.78% revenue lift specifically within Ankara's healthcare ecosystem. As Turkey's medical research sector grows at 14.2% CAGR (per TÜİK data), investing in specialized Medical Researchers positioned strategically across Ankara is not just advisable—it is essential for market leadership.</w:t>
      </w:r>
    </w:p>
    <w:p>
      <w:pPr>
        <w:pStyle w:val="BodyText"/>
      </w:pPr>
      <w:r>
        <w:t xml:space="preserve">Recommendation: Allocate 15% of all sales development budget to Medical Researcher expansion in Ankara through Q4 2023. This investment will directly capture Turkey's projected $8.7B clinical research market by 2026, with Ankara serving as our strategic command center for all Turkey operations.</w:t>
      </w:r>
    </w:p>
    <w:p>
      <w:pPr>
        <w:pStyle w:val="BodyText"/>
      </w:pPr>
      <w:r>
        <w:rPr>
          <w:bCs/>
          <w:b/>
        </w:rPr>
        <w:t xml:space="preserve">Prepared By:</w:t>
      </w:r>
      <w:r>
        <w:t xml:space="preserve"> </w:t>
      </w:r>
      <w:r>
        <w:t xml:space="preserve">Global Sales &amp; Research Intelligence Division</w:t>
      </w:r>
      <w:r>
        <w:br/>
      </w:r>
      <w:r>
        <w:rPr>
          <w:bCs/>
          <w:b/>
        </w:rPr>
        <w:t xml:space="preserve">Date:</w:t>
      </w:r>
      <w:r>
        <w:t xml:space="preserve"> </w:t>
      </w:r>
      <w:r>
        <w:t xml:space="preserve">October 15, 2023</w:t>
      </w:r>
      <w:r>
        <w:br/>
      </w:r>
      <w:r>
        <w:rPr>
          <w:bCs/>
          <w:b/>
        </w:rPr>
        <w:t xml:space="preserve">Location:</w:t>
      </w:r>
      <w:r>
        <w:t xml:space="preserve"> </w:t>
      </w:r>
      <w:r>
        <w:t xml:space="preserve">Ankara, Turkey</w:t>
      </w:r>
    </w:p>
    <w:p>
      <w:r>
        <w:pict>
          <v:rect style="width:0;height:1.5pt" o:hralign="center" o:hrstd="t" o:hr="t"/>
        </w:pict>
      </w:r>
    </w:p>
    <w:p>
      <w:pPr>
        <w:pStyle w:val="FirstParagraph"/>
      </w:pPr>
      <w:r>
        <w:rPr>
          <w:iCs/>
          <w:i/>
        </w:rPr>
        <w:t xml:space="preserve">This Sales Report details performance metrics specifically for Medical Researcher activities in Turkey Ankara. All data reflects Q3 2023 operations within the Turkish healthcare regulatory framework. The term "Medical Researcher" refers to our certified clinical research professionals operating under TÜRKFARMA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 Turkey Ankara</dc:title>
  <dc:creator/>
  <dc:language>en</dc:language>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