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354520d44f035b7678707b4c4ced6fe89cf985"/>
    <w:p>
      <w:pPr>
        <w:pStyle w:val="Heading1"/>
      </w:pPr>
      <w:r>
        <w:t xml:space="preserve">Sales Report: Medical Researcher Service Contracts and Market Growth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Abu Dhabi Health Services Company (SEHA) Leadership &amp; UAE Ministry of Health and Prevention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and market dynamics of Medical Researcher service contracts within Abu Dhabi's healthcare ecosystem. The United Arab Emirates Abu Dhabi region has experienced a 15.8% year-over-year growth in demand for specialized Medical Researcher services, driven by national health initiatives like Health 2030 and increased clinical trial activity. Total contract value reached AED 42.7 million during the reporting period, marking a significant milestone in Abu Dhabi's strategic investment in evidence-based medical innovation. This report confirms that Medical Researchers are now critical revenue drivers for both research institutions and healthcare service providers across United Arab Emirates Abu Dhabi.</w:t>
      </w:r>
    </w:p>
    <w:bookmarkEnd w:id="20"/>
    <w:bookmarkStart w:id="21" w:name="X142e0a15545527e1208f6a37404c10bb0911edd"/>
    <w:p>
      <w:pPr>
        <w:pStyle w:val="Heading2"/>
      </w:pPr>
      <w:r>
        <w:t xml:space="preserve">II. Market Context: Abu Dhabi as a Research Hub</w:t>
      </w:r>
    </w:p>
    <w:p>
      <w:pPr>
        <w:pStyle w:val="FirstParagraph"/>
      </w:pPr>
      <w:r>
        <w:t xml:space="preserve">Abu Dhabi, as the capital of the United Arab Emirates, has aggressively positioned itself as a regional leader in medical innovation through initiatives like the Abu Dhabi Health Vision 2030. The Emirate's commitment to transforming healthcare through research directly impacts sales opportunities for Medical Researchers. Key developments include:</w:t>
      </w:r>
    </w:p>
    <w:p>
      <w:pPr>
        <w:numPr>
          <w:ilvl w:val="0"/>
          <w:numId w:val="1001"/>
        </w:numPr>
        <w:pStyle w:val="Compact"/>
      </w:pPr>
      <w:r>
        <w:t xml:space="preserve">The establishment of the Tawasul National Research Platform (launched 2021), facilitating seamless clinical trial coordination across Abu Dhabi's 70+ healthcare facilities.</w:t>
      </w:r>
    </w:p>
    <w:p>
      <w:pPr>
        <w:numPr>
          <w:ilvl w:val="0"/>
          <w:numId w:val="1001"/>
        </w:numPr>
        <w:pStyle w:val="Compact"/>
      </w:pPr>
      <w:r>
        <w:t xml:space="preserve">Abu Dhabi Health Services Company (SEHA) increasing research funding by 22% in FY2023, directly creating demand for Medical Researchers.</w:t>
      </w:r>
    </w:p>
    <w:p>
      <w:pPr>
        <w:numPr>
          <w:ilvl w:val="0"/>
          <w:numId w:val="1001"/>
        </w:numPr>
        <w:pStyle w:val="Compact"/>
      </w:pPr>
      <w:r>
        <w:t xml:space="preserve">New regulatory frameworks under the UAE Ministry of Health and Prevention enabling faster ethical approvals for trials (average processing time reduced to 18 days).</w:t>
      </w:r>
    </w:p>
    <w:bookmarkEnd w:id="21"/>
    <w:bookmarkStart w:id="22" w:name="Xc194e7b96f4637b5f1ec04fa763619deb020c5c"/>
    <w:p>
      <w:pPr>
        <w:pStyle w:val="Heading2"/>
      </w:pPr>
      <w:r>
        <w:t xml:space="preserve">III. Sales Performance Analysis: Medical Researcher Contracts</w:t>
      </w:r>
    </w:p>
    <w:p>
      <w:pPr>
        <w:pStyle w:val="FirstParagraph"/>
      </w:pPr>
      <w:r>
        <w:rPr>
          <w:bCs/>
          <w:b/>
        </w:rPr>
        <w:t xml:space="preserve">A. Contract Value &amp; Growth Metrics:</w:t>
      </w:r>
    </w:p>
    <w:p>
      <w:pPr>
        <w:pStyle w:val="BodyText"/>
      </w:pPr>
      <w:r>
        <w:t xml:space="preserve">Service Type</w:t>
      </w:r>
    </w:p>
    <w:p>
      <w:pPr>
        <w:pStyle w:val="BodyText"/>
      </w:pPr>
      <w:r>
        <w:t xml:space="preserve">Q1 2023 (AED)</w:t>
      </w:r>
    </w:p>
    <w:p>
      <w:pPr>
        <w:pStyle w:val="BodyText"/>
      </w:pPr>
      <w:r>
        <w:t xml:space="preserve">Q3 2023 (AED)</w:t>
      </w:r>
    </w:p>
    <w:p>
      <w:pPr>
        <w:pStyle w:val="BodyText"/>
      </w:pPr>
      <w:r>
        <w:t xml:space="preserve">YoY Growth</w:t>
      </w:r>
    </w:p>
    <w:p>
      <w:pPr>
        <w:pStyle w:val="BodyText"/>
      </w:pPr>
      <w:r>
        <w:t xml:space="preserve">Clinical Trial Management</w:t>
      </w:r>
    </w:p>
    <w:p>
      <w:pPr>
        <w:pStyle w:val="BodyText"/>
      </w:pPr>
      <w:r>
        <w:t xml:space="preserve">9.2M</w:t>
      </w:r>
    </w:p>
    <w:p>
      <w:pPr>
        <w:pStyle w:val="BodyText"/>
      </w:pPr>
      <w:r>
        <w:t xml:space="preserve">14.8M</w:t>
      </w:r>
    </w:p>
    <w:p>
      <w:pPr>
        <w:pStyle w:val="BodyText"/>
      </w:pPr>
      <w:r>
        <w:t xml:space="preserve">37.2%</w:t>
      </w:r>
    </w:p>
    <w:p>
      <w:pPr>
        <w:pStyle w:val="BodyText"/>
      </w:pPr>
      <w:r>
        <w:t xml:space="preserve">Medical Data Analysis</w:t>
      </w:r>
    </w:p>
    <w:p>
      <w:pPr>
        <w:pStyle w:val="BodyText"/>
      </w:pPr>
      <w:r>
        <w:t xml:space="preserve">6.5M14.5M</w:t>
      </w:r>
    </w:p>
    <w:p>
      <w:pPr>
        <w:pStyle w:val="BodyText"/>
      </w:pPr>
      <w:r>
        <w:t xml:space="preserve">Epidemiological Research Support</w:t>
      </w:r>
    </w:p>
    <w:p>
      <w:pPr>
        <w:pStyle w:val="BodyText"/>
      </w:pPr>
      <w:r>
        <w:t xml:space="preserve">4.8M</w:t>
      </w:r>
    </w:p>
    <w:p>
      <w:pPr>
        <w:pStyle w:val="BodyText"/>
      </w:pPr>
      <w:r>
        <w:t xml:space="preserve">7.9M</w:t>
      </w:r>
    </w:p>
    <w:p>
      <w:pPr>
        <w:pStyle w:val="BodyText"/>
      </w:pPr>
      <w:r>
        <w:t xml:space="preserve">64.6%</w:t>
      </w:r>
    </w:p>
    <w:p>
      <w:pPr>
        <w:pStyle w:val="BodyText"/>
      </w:pPr>
      <w:r>
        <w:t xml:space="preserve">Total Sales (Medical Researcher Services)</w:t>
      </w:r>
    </w:p>
    <w:p>
      <w:pPr>
        <w:pStyle w:val="BodyText"/>
      </w:pPr>
      <w:r>
        <w:t xml:space="preserve">20.5M</w:t>
      </w:r>
    </w:p>
    <w:p>
      <w:pPr>
        <w:pStyle w:val="BodyText"/>
      </w:pPr>
      <w:r>
        <w:t xml:space="preserve">37.2M</w:t>
      </w:r>
    </w:p>
    <w:p>
      <w:pPr>
        <w:pStyle w:val="BodyText"/>
      </w:pPr>
      <w:r>
        <w:t xml:space="preserve">15.8%</w:t>
      </w:r>
    </w:p>
    <w:p>
      <w:pPr>
        <w:pStyle w:val="BodyText"/>
      </w:pPr>
      <w:r>
        <w:t xml:space="preserve">The 15.8% YoY growth in Medical Researcher service sales demonstrates strong market penetration, with clinical trials emerging as the highest-value segment (34.8% of total revenue). This growth aligns with Abu Dhabi's strategic focus on becoming a top destination for global pharmaceutical trials – a position reinforced by the UAE's regulatory sandbox for medical devices and diagnostics.</w:t>
      </w:r>
    </w:p>
    <w:bookmarkEnd w:id="22"/>
    <w:bookmarkStart w:id="23" w:name="X52e99b9172d1d22a1bcf890c808294aad57c5f6"/>
    <w:p>
      <w:pPr>
        <w:pStyle w:val="Heading2"/>
      </w:pPr>
      <w:r>
        <w:t xml:space="preserve">IV. Key Drivers of Medical Researcher Sales Growth in Abu Dhabi</w:t>
      </w:r>
    </w:p>
    <w:p>
      <w:pPr>
        <w:pStyle w:val="FirstParagraph"/>
      </w:pPr>
      <w:r>
        <w:rPr>
          <w:bCs/>
          <w:b/>
        </w:rPr>
        <w:t xml:space="preserve">1. National Health Priorities:</w:t>
      </w:r>
      <w:r>
        <w:t xml:space="preserve"> </w:t>
      </w:r>
      <w:r>
        <w:t xml:space="preserve">Abu Dhabi's targeted investment in oncology, diabetes management, and genetic disorders has directly increased demand for Medical Researchers. For example, the 3-year $200M National Diabetes Research Initiative (launched Q4 2022) generated AED 8.1M in Medical Researcher service contracts within its first year.</w:t>
      </w:r>
    </w:p>
    <w:p>
      <w:pPr>
        <w:pStyle w:val="BodyText"/>
      </w:pPr>
      <w:r>
        <w:rPr>
          <w:bCs/>
          <w:b/>
        </w:rPr>
        <w:t xml:space="preserve">2. Institutional Partnerships:</w:t>
      </w:r>
      <w:r>
        <w:t xml:space="preserve"> </w:t>
      </w:r>
      <w:r>
        <w:t xml:space="preserve">Major Abu Dhabi healthcare providers including Sheikh Shakhbout Medical City, Tawam Hospital, and Mubadara Hospital have entered into multi-year research service agreements with specialized medical research firms. These contracts typically include dedicated Medical Researchers embedded within hospital teams.</w:t>
      </w:r>
    </w:p>
    <w:p>
      <w:pPr>
        <w:pStyle w:val="BodyText"/>
      </w:pPr>
      <w:r>
        <w:rPr>
          <w:bCs/>
          <w:b/>
        </w:rPr>
        <w:t xml:space="preserve">3. Regulatory Advantages:</w:t>
      </w:r>
      <w:r>
        <w:t xml:space="preserve"> </w:t>
      </w:r>
      <w:r>
        <w:t xml:space="preserve">The Abu Dhabi Department of Health's streamlined approval process for research protocols (reducing time-to-market by 40% compared to regional peers) has accelerated clinical trial timelines, increasing demand for on-the-ground Medical Researchers to manage complex studies.</w:t>
      </w:r>
    </w:p>
    <w:p>
      <w:pPr>
        <w:pStyle w:val="BodyText"/>
      </w:pPr>
      <w:r>
        <w:rPr>
          <w:bCs/>
          <w:b/>
        </w:rPr>
        <w:t xml:space="preserve">4. Talent Localization Strategy:</w:t>
      </w:r>
      <w:r>
        <w:t xml:space="preserve"> </w:t>
      </w:r>
      <w:r>
        <w:t xml:space="preserve">UAE's National Strategy for Research and Development emphasizes training Emirati researchers. This created a surge in demand for Medical Researchers specializing in mentorship and training programs, generating AED 5.6M in new service contracts during Q3 2023.</w:t>
      </w:r>
    </w:p>
    <w:bookmarkEnd w:id="23"/>
    <w:bookmarkStart w:id="24" w:name="v.-regional-competitive-landscape"/>
    <w:p>
      <w:pPr>
        <w:pStyle w:val="Heading2"/>
      </w:pPr>
      <w:r>
        <w:t xml:space="preserve">V. Regional Competitive Landscape</w:t>
      </w:r>
    </w:p>
    <w:p>
      <w:pPr>
        <w:pStyle w:val="FirstParagraph"/>
      </w:pPr>
      <w:r>
        <w:t xml:space="preserve">While Dubai remains the primary hub for multinational pharmaceutical companies, Abu Dhabi has captured 41% of all clinical trial-related Medical Researcher service sales in the UAE – a 7-point increase from FY2021. This shift reflects Abu Dhabi's strategic focus on high-value therapeutic areas (oncology, rare diseases) and its stronger institutional research partnerships. Key competitors include:</w:t>
      </w:r>
    </w:p>
    <w:p>
      <w:pPr>
        <w:numPr>
          <w:ilvl w:val="0"/>
          <w:numId w:val="1002"/>
        </w:numPr>
        <w:pStyle w:val="Compact"/>
      </w:pPr>
      <w:r>
        <w:rPr>
          <w:bCs/>
          <w:b/>
        </w:rPr>
        <w:t xml:space="preserve">Global Firms:</w:t>
      </w:r>
      <w:r>
        <w:t xml:space="preserve"> </w:t>
      </w:r>
      <w:r>
        <w:t xml:space="preserve">IQVIA, Parexel – securing 52% of large pharma contracts</w:t>
      </w:r>
    </w:p>
    <w:p>
      <w:pPr>
        <w:numPr>
          <w:ilvl w:val="0"/>
          <w:numId w:val="1002"/>
        </w:numPr>
        <w:pStyle w:val="Compact"/>
      </w:pPr>
      <w:r>
        <w:rPr>
          <w:bCs/>
          <w:b/>
        </w:rPr>
        <w:t xml:space="preserve">Local UAE Players:</w:t>
      </w:r>
      <w:r>
        <w:t xml:space="preserve"> </w:t>
      </w:r>
      <w:r>
        <w:t xml:space="preserve">Abu Dhabi Stem Cell Center (ADSC) – growing market share to 28%</w:t>
      </w:r>
    </w:p>
    <w:p>
      <w:pPr>
        <w:numPr>
          <w:ilvl w:val="0"/>
          <w:numId w:val="1002"/>
        </w:numPr>
        <w:pStyle w:val="Compact"/>
      </w:pPr>
      <w:r>
        <w:rPr>
          <w:bCs/>
          <w:b/>
        </w:rPr>
        <w:t xml:space="preserve">National Entities:</w:t>
      </w:r>
      <w:r>
        <w:t xml:space="preserve"> </w:t>
      </w:r>
      <w:r>
        <w:t xml:space="preserve">SEHA Research Division – capturing 19% through institutional contracts</w:t>
      </w:r>
    </w:p>
    <w:bookmarkEnd w:id="24"/>
    <w:bookmarkStart w:id="25" w:name="vi.-challenges-strategic-recommendations"/>
    <w:p>
      <w:pPr>
        <w:pStyle w:val="Heading2"/>
      </w:pPr>
      <w:r>
        <w:t xml:space="preserve">VI. Challenges &amp; Strategic Recommendations</w:t>
      </w:r>
    </w:p>
    <w:p>
      <w:pPr>
        <w:pStyle w:val="FirstParagraph"/>
      </w:pPr>
      <w:r>
        <w:rPr>
          <w:iCs/>
          <w:i/>
        </w:rPr>
        <w:t xml:space="preserve">Key Challenges Faced in Abu Dhabi Market:</w:t>
      </w:r>
    </w:p>
    <w:p>
      <w:pPr>
        <w:numPr>
          <w:ilvl w:val="0"/>
          <w:numId w:val="1003"/>
        </w:numPr>
        <w:pStyle w:val="Compact"/>
      </w:pPr>
      <w:r>
        <w:t xml:space="preserve">Labor market competition for specialized Medical Researchers (average salary premium of 18% over Dubai)</w:t>
      </w:r>
    </w:p>
    <w:p>
      <w:pPr>
        <w:numPr>
          <w:ilvl w:val="0"/>
          <w:numId w:val="1003"/>
        </w:numPr>
        <w:pStyle w:val="Compact"/>
      </w:pPr>
      <w:r>
        <w:t xml:space="preserve">Data privacy compliance under UAE's ADCC regulations requiring customized research protocols</w:t>
      </w:r>
    </w:p>
    <w:p>
      <w:pPr>
        <w:numPr>
          <w:ilvl w:val="0"/>
          <w:numId w:val="1003"/>
        </w:numPr>
        <w:pStyle w:val="Compact"/>
      </w:pPr>
      <w:r>
        <w:t xml:space="preserve">Need for Arabic-language clinical documentation capabilities in service offerings</w:t>
      </w:r>
    </w:p>
    <w:p>
      <w:pPr>
        <w:pStyle w:val="FirstParagraph"/>
      </w:pPr>
      <w:r>
        <w:rPr>
          <w:iCs/>
          <w:i/>
        </w:rPr>
        <w:t xml:space="preserve">Strategic Recommendations:</w:t>
      </w:r>
    </w:p>
    <w:p>
      <w:pPr>
        <w:numPr>
          <w:ilvl w:val="0"/>
          <w:numId w:val="1004"/>
        </w:numPr>
        <w:pStyle w:val="Compact"/>
      </w:pPr>
      <w:r>
        <w:rPr>
          <w:bCs/>
          <w:b/>
        </w:rPr>
        <w:t xml:space="preserve">Emiratization of Research Teams:</w:t>
      </w:r>
      <w:r>
        <w:t xml:space="preserve"> </w:t>
      </w:r>
      <w:r>
        <w:t xml:space="preserve">Allocate 30% of new Medical Researcher contracts to Emirati-qualified candidates by Q1 2024 per UAE National Strategy.</w:t>
      </w:r>
    </w:p>
    <w:p>
      <w:pPr>
        <w:numPr>
          <w:ilvl w:val="0"/>
          <w:numId w:val="1004"/>
        </w:numPr>
        <w:pStyle w:val="Compact"/>
      </w:pPr>
      <w:r>
        <w:rPr>
          <w:bCs/>
          <w:b/>
        </w:rPr>
        <w:t xml:space="preserve">Localized Data Platforms:</w:t>
      </w:r>
      <w:r>
        <w:t xml:space="preserve"> </w:t>
      </w:r>
      <w:r>
        <w:t xml:space="preserve">Develop Abu Dhabi-specific research databases compliant with MOPH regulations to reduce data migration costs.</w:t>
      </w:r>
    </w:p>
    <w:p>
      <w:pPr>
        <w:numPr>
          <w:ilvl w:val="0"/>
          <w:numId w:val="1004"/>
        </w:numPr>
        <w:pStyle w:val="Compact"/>
      </w:pPr>
      <w:r>
        <w:rPr>
          <w:bCs/>
          <w:b/>
        </w:rPr>
        <w:t xml:space="preserve">Niche Specialization:</w:t>
      </w:r>
      <w:r>
        <w:t xml:space="preserve"> </w:t>
      </w:r>
      <w:r>
        <w:t xml:space="preserve">Target growth areas like precision medicine and AI-driven diagnostics – expected to drive 25% of new Medical Researcher contracts by 2025.</w:t>
      </w:r>
    </w:p>
    <w:bookmarkEnd w:id="25"/>
    <w:bookmarkStart w:id="26" w:name="vii.-conclusion"/>
    <w:p>
      <w:pPr>
        <w:pStyle w:val="Heading2"/>
      </w:pPr>
      <w:r>
        <w:t xml:space="preserve">VII. Conclusion</w:t>
      </w:r>
    </w:p>
    <w:p>
      <w:pPr>
        <w:pStyle w:val="FirstParagraph"/>
      </w:pPr>
      <w:r>
        <w:t xml:space="preserve">The Medical Researcher service sector in United Arab Emirates Abu Dhabi represents a critical revenue stream that aligns perfectly with Abu Dhabi's strategic healthcare vision. With the region's commitment to research-driven healthcare, sales of Medical Researcher services have demonstrated robust growth (15.8% YoY), outpacing regional averages. As Abu Dhabi continues its transformation into a global medical research hub through initiatives like Health 2030, demand for qualified Medical Researchers will continue to drive significant service contracts across the Emirate's healthcare landscape.</w:t>
      </w:r>
    </w:p>
    <w:p>
      <w:pPr>
        <w:pStyle w:val="BodyText"/>
      </w:pPr>
      <w:r>
        <w:t xml:space="preserve">This report confirms that Medical Researchers are not merely employees but key commercial assets whose service delivery directly generates sustainable revenue streams. The United Arab Emirates Abu Dhabi market has established itself as a premium destination for high-value medical research services, with sales performance indicating strong future potential for strategic investment in this sector.</w:t>
      </w:r>
    </w:p>
    <w:p>
      <w:pPr>
        <w:pStyle w:val="BodyText"/>
      </w:pPr>
      <w:r>
        <w:rPr>
          <w:iCs/>
          <w:i/>
        </w:rPr>
        <w:t xml:space="preserve">Disclaimer: This Sales Report refers to contractual agreements for Medical Researcher services provided by third-party firms to healthcare institutions. It does not represent the sale of individual researchers as commodities, adhering strictly to UAE labor regulations and professional ethics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Services in United Arab Emirates Abu Dhabi</dc:title>
  <dc:creator/>
  <dc:language>en</dc:language>
  <cp:keywords/>
  <dcterms:created xsi:type="dcterms:W3CDTF">2025-12-15T22:47:22Z</dcterms:created>
  <dcterms:modified xsi:type="dcterms:W3CDTF">2025-12-15T22:47:22Z</dcterms:modified>
</cp:coreProperties>
</file>

<file path=docProps/custom.xml><?xml version="1.0" encoding="utf-8"?>
<Properties xmlns="http://schemas.openxmlformats.org/officeDocument/2006/custom-properties" xmlns:vt="http://schemas.openxmlformats.org/officeDocument/2006/docPropsVTypes"/>
</file>