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Birmingham</w:t>
      </w:r>
    </w:p>
    <w:bookmarkStart w:id="28" w:name="X4aed305a2d7bc91605606d88ffcdd6bf2df12bf"/>
    <w:p>
      <w:pPr>
        <w:pStyle w:val="Heading1"/>
      </w:pPr>
      <w:r>
        <w:t xml:space="preserve">Sales Report: Medical Researcher Recruitment &amp; Performance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BioInnovate Solutions UK</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 Sales Report details the recruitment performance, market positioning, and strategic outlook for Medical Researcher roles within the United Kingdom Birmingham healthcare ecosystem. As Birmingham emerges as a pivotal hub for medical innovation in the UK, this report analyzes how our targeted recruitment strategy has driven sales growth through specialized Medical Researcher placements. The data confirms that strategic investment in Birmingham's talent pipeline directly correlates with enhanced research outcomes and commercial revenue streams for biotech firms operating across the United Kingdom.</w:t>
      </w:r>
    </w:p>
    <w:bookmarkEnd w:id="20"/>
    <w:bookmarkStart w:id="21" w:name="Xf14cc5c41b52aa93c16a961b0b720ef9c0e4664"/>
    <w:p>
      <w:pPr>
        <w:pStyle w:val="Heading2"/>
      </w:pPr>
      <w:r>
        <w:t xml:space="preserve">Market Context: Birmingham as a Medical Research Nexus</w:t>
      </w:r>
    </w:p>
    <w:p>
      <w:pPr>
        <w:pStyle w:val="FirstParagraph"/>
      </w:pPr>
      <w:r>
        <w:t xml:space="preserve">Birmingham has established itself as the second-largest medical research center in the United Kingdom, following London. The city hosts 18 major healthcare institutions including University Hospitals Birmingham NHS Foundation Trust, Queen Elizabeth Hospital, and the renowned Birmingham Health Innovation Campus. This concentration creates unparalleled opportunities for Medical Researcher recruitment where talent pools intersect with clinical applications. Our Sales Report confirms that 63% of all biotech firms in the United Kingdom Birmingham region have expanded research teams over the past 18 months – a trend directly tied to increased government funding under the UK Life Sciences Vision 2030.</w:t>
      </w:r>
    </w:p>
    <w:bookmarkEnd w:id="21"/>
    <w:bookmarkStart w:id="22" w:name="recruitment-performance-metrics"/>
    <w:p>
      <w:pPr>
        <w:pStyle w:val="Heading2"/>
      </w:pPr>
      <w:r>
        <w:t xml:space="preserve">Recruitment Performance Metrics</w:t>
      </w:r>
    </w:p>
    <w:p>
      <w:pPr>
        <w:pStyle w:val="FirstParagraph"/>
      </w:pPr>
      <w:r>
        <w:rPr>
          <w:bCs/>
          <w:b/>
        </w:rPr>
        <w:t xml:space="preserve">Q3 Medical Researcher Placement Volume:</w:t>
      </w:r>
      <w:r>
        <w:t xml:space="preserve"> </w:t>
      </w:r>
      <w:r>
        <w:t xml:space="preserve">47 positions filled (vs. target of 40) representing a 17.5% YoY growth. This achievement positions us as the market leader in specialist medical researcher recruitment across United Kingdom Birmingham.</w:t>
      </w:r>
    </w:p>
    <w:p>
      <w:pPr>
        <w:pStyle w:val="BodyText"/>
      </w:pPr>
      <w:r>
        <w:rPr>
          <w:iCs/>
          <w:i/>
        </w:rPr>
        <w:t xml:space="preserve">Key Performance Indicators:</w:t>
      </w:r>
    </w:p>
    <w:p>
      <w:pPr>
        <w:numPr>
          <w:ilvl w:val="0"/>
          <w:numId w:val="1001"/>
        </w:numPr>
        <w:pStyle w:val="Compact"/>
      </w:pPr>
      <w:r>
        <w:rPr>
          <w:bCs/>
          <w:b/>
        </w:rPr>
        <w:t xml:space="preserve">Placement Speed:</w:t>
      </w:r>
      <w:r>
        <w:t xml:space="preserve"> </w:t>
      </w:r>
      <w:r>
        <w:t xml:space="preserve">Average time-to-hire reduced to 28 days (industry avg: 45 days)</w:t>
      </w:r>
    </w:p>
    <w:p>
      <w:pPr>
        <w:numPr>
          <w:ilvl w:val="0"/>
          <w:numId w:val="1001"/>
        </w:numPr>
        <w:pStyle w:val="Compact"/>
      </w:pPr>
      <w:r>
        <w:rPr>
          <w:bCs/>
          <w:b/>
        </w:rPr>
        <w:t xml:space="preserve">Retention Rate:</w:t>
      </w:r>
      <w:r>
        <w:t xml:space="preserve"> </w:t>
      </w:r>
      <w:r>
        <w:t xml:space="preserve">92% after 6 months (exceeding UK benchmark of 85%)</w:t>
      </w:r>
    </w:p>
    <w:p>
      <w:pPr>
        <w:numPr>
          <w:ilvl w:val="0"/>
          <w:numId w:val="1001"/>
        </w:numPr>
        <w:pStyle w:val="Compact"/>
      </w:pPr>
      <w:r>
        <w:rPr>
          <w:bCs/>
          <w:b/>
        </w:rPr>
        <w:t xml:space="preserve">Clinical Trial Impact:</w:t>
      </w:r>
      <w:r>
        <w:t xml:space="preserve"> </w:t>
      </w:r>
      <w:r>
        <w:t xml:space="preserve">Placed researchers contributed to 14 active Phase II/III trials in Birmingham (up from 9 in Q2)</w:t>
      </w:r>
    </w:p>
    <w:p>
      <w:pPr>
        <w:numPr>
          <w:ilvl w:val="0"/>
          <w:numId w:val="1001"/>
        </w:numPr>
        <w:pStyle w:val="Compact"/>
      </w:pPr>
      <w:r>
        <w:rPr>
          <w:bCs/>
          <w:b/>
        </w:rPr>
        <w:t xml:space="preserve">Revenue Attribution:</w:t>
      </w:r>
      <w:r>
        <w:t xml:space="preserve"> </w:t>
      </w:r>
      <w:r>
        <w:t xml:space="preserve">Medical Researcher placements generated £3.8M in direct contract value for our agency (18% of total UK revenue)</w:t>
      </w:r>
    </w:p>
    <w:bookmarkEnd w:id="22"/>
    <w:bookmarkStart w:id="23" w:name="Xc2e43c1dfe5d63a22ed9c665765f095ee721017"/>
    <w:p>
      <w:pPr>
        <w:pStyle w:val="Heading2"/>
      </w:pPr>
      <w:r>
        <w:t xml:space="preserve">Detailed Analysis: United Kingdom Birmingham Market Dynamics</w:t>
      </w:r>
    </w:p>
    <w:p>
      <w:pPr>
        <w:pStyle w:val="FirstParagraph"/>
      </w:pPr>
      <w:r>
        <w:t xml:space="preserve">The success of this Sales Report hinges on understanding Birmingham-specific market nuances. Unlike London's competitive landscape, Birmingham offers cost advantages with 30% lower operational costs while maintaining access to world-class facilities like the National Institute for Health Research (NIHR) Clinical Research Network. Our Medical Researcher recruitment strategy capitalizes on these advantages through:</w:t>
      </w:r>
    </w:p>
    <w:p>
      <w:pPr>
        <w:numPr>
          <w:ilvl w:val="0"/>
          <w:numId w:val="1002"/>
        </w:numPr>
        <w:pStyle w:val="Compact"/>
      </w:pPr>
      <w:r>
        <w:t xml:space="preserve">Strategic partnerships with University of Birmingham's College of Medical and Dental Sciences</w:t>
      </w:r>
    </w:p>
    <w:p>
      <w:pPr>
        <w:numPr>
          <w:ilvl w:val="0"/>
          <w:numId w:val="1002"/>
        </w:numPr>
        <w:pStyle w:val="Compact"/>
      </w:pPr>
      <w:r>
        <w:t xml:space="preserve">Tailored talent pipelines targeting Midlands-based PhD graduates</w:t>
      </w:r>
    </w:p>
    <w:p>
      <w:pPr>
        <w:numPr>
          <w:ilvl w:val="0"/>
          <w:numId w:val="1002"/>
        </w:numPr>
        <w:pStyle w:val="Compact"/>
      </w:pPr>
      <w:r>
        <w:t xml:space="preserve">Clinical collaboration networks with Birmingham Women's &amp; Children's Hospital</w:t>
      </w:r>
    </w:p>
    <w:p>
      <w:pPr>
        <w:pStyle w:val="FirstParagraph"/>
      </w:pPr>
      <w:r>
        <w:t xml:space="preserve">Crucially, the Sales Report identifies a critical skills gap: 68% of biotech firms in United Kingdom Birmingham report difficulty finding Medical Researchers with expertise in AI-driven clinical data analysis – an emerging priority we've addressed through specialized recruitment channels.</w:t>
      </w:r>
    </w:p>
    <w:bookmarkEnd w:id="23"/>
    <w:bookmarkStart w:id="24" w:name="challenges-strategic-countermeasures"/>
    <w:p>
      <w:pPr>
        <w:pStyle w:val="Heading2"/>
      </w:pPr>
      <w:r>
        <w:t xml:space="preserve">Challenges &amp; Strategic Countermeasures</w:t>
      </w:r>
    </w:p>
    <w:p>
      <w:pPr>
        <w:pStyle w:val="FirstParagraph"/>
      </w:pPr>
      <w:r>
        <w:rPr>
          <w:bCs/>
          <w:b/>
        </w:rPr>
        <w:t xml:space="preserve">Challenge 1: Talent Competition</w:t>
      </w:r>
      <w:r>
        <w:t xml:space="preserve"> </w:t>
      </w:r>
      <w:r>
        <w:t xml:space="preserve">With 47% of Birmingham's medical research roles sourced from London-based talent pools, we implemented our "Birmingham Homegrown" initiative. This Sales Report shows a 35% increase in local candidate conversions through university partnership programs.</w:t>
      </w:r>
    </w:p>
    <w:p>
      <w:pPr>
        <w:pStyle w:val="BodyText"/>
      </w:pPr>
      <w:r>
        <w:rPr>
          <w:bCs/>
          <w:b/>
        </w:rPr>
        <w:t xml:space="preserve">Challenge 2: Brexit-Induced Talent Shortage</w:t>
      </w:r>
      <w:r>
        <w:t xml:space="preserve"> </w:t>
      </w:r>
      <w:r>
        <w:t xml:space="preserve">EU Medical Researcher applications declined by 28% post-Brexit. Our solution (documented in this Sales Report) deployed targeted visa sponsorship partnerships with the Home Office, resulting in 19 successful placements for international researchers within Q3.</w:t>
      </w:r>
    </w:p>
    <w:p>
      <w:pPr>
        <w:pStyle w:val="BodyText"/>
      </w:pPr>
      <w:r>
        <w:rPr>
          <w:bCs/>
          <w:b/>
        </w:rPr>
        <w:t xml:space="preserve">Challenge 3: Retention Pressure</w:t>
      </w:r>
      <w:r>
        <w:t xml:space="preserve"> </w:t>
      </w:r>
      <w:r>
        <w:t xml:space="preserve">Competitive salaries from London firms threaten Birmingham retention. Our retention strategy (detailed in this Sales Report) introduced "Career Path Acceleration" programs including NHS England dual-career tracks, reducing attrition by 22%.</w:t>
      </w:r>
    </w:p>
    <w:bookmarkEnd w:id="24"/>
    <w:bookmarkStart w:id="25" w:name="X1611022e8ba3219d1351bf93c064d9fe3615631"/>
    <w:p>
      <w:pPr>
        <w:pStyle w:val="Heading2"/>
      </w:pPr>
      <w:r>
        <w:t xml:space="preserve">Strategic Recommendations for United Kingdom Birmingham Operations</w:t>
      </w:r>
    </w:p>
    <w:p>
      <w:pPr>
        <w:pStyle w:val="FirstParagraph"/>
      </w:pPr>
      <w:r>
        <w:t xml:space="preserve">Based on Q3 results documented in this Sales Report, we recommend three priorities for Medical Researcher recruitment in United Kingdom Birmingham:</w:t>
      </w:r>
    </w:p>
    <w:p>
      <w:pPr>
        <w:numPr>
          <w:ilvl w:val="0"/>
          <w:numId w:val="1003"/>
        </w:numPr>
        <w:pStyle w:val="Compact"/>
      </w:pPr>
      <w:r>
        <w:rPr>
          <w:bCs/>
          <w:b/>
        </w:rPr>
        <w:t xml:space="preserve">Expand AI/ML Integration Program:</w:t>
      </w:r>
      <w:r>
        <w:t xml:space="preserve"> </w:t>
      </w:r>
      <w:r>
        <w:t xml:space="preserve">Develop a dedicated training consortium with Aston University to upskill 50+ local Medical Researchers by Q2 2024. This addresses the critical skills gap identified in our Sales Report.</w:t>
      </w:r>
    </w:p>
    <w:p>
      <w:pPr>
        <w:numPr>
          <w:ilvl w:val="0"/>
          <w:numId w:val="1003"/>
        </w:numPr>
        <w:pStyle w:val="Compact"/>
      </w:pPr>
      <w:r>
        <w:rPr>
          <w:bCs/>
          <w:b/>
        </w:rPr>
        <w:t xml:space="preserve">Create Birmingham Research Hub Branding:</w:t>
      </w:r>
      <w:r>
        <w:t xml:space="preserve"> </w:t>
      </w:r>
      <w:r>
        <w:t xml:space="preserve">Launch "Birmingham Medical Innovators" campaign to position the region as UK's AI-driven research capital – directly boosting recruitment appeal for Medical Researcher roles.</w:t>
      </w:r>
    </w:p>
    <w:p>
      <w:pPr>
        <w:numPr>
          <w:ilvl w:val="0"/>
          <w:numId w:val="1003"/>
        </w:numPr>
        <w:pStyle w:val="Compact"/>
      </w:pPr>
      <w:r>
        <w:rPr>
          <w:bCs/>
          <w:b/>
        </w:rPr>
        <w:t xml:space="preserve">Develop NHS Partnership Framework:</w:t>
      </w:r>
      <w:r>
        <w:t xml:space="preserve"> </w:t>
      </w:r>
      <w:r>
        <w:t xml:space="preserve">Formalize agreements with University Hospitals Birmingham to co-fund 10 new Medical Researcher positions annually, securing pipeline stability.</w:t>
      </w:r>
    </w:p>
    <w:bookmarkEnd w:id="25"/>
    <w:bookmarkStart w:id="26" w:name="financial-impact-analysis"/>
    <w:p>
      <w:pPr>
        <w:pStyle w:val="Heading2"/>
      </w:pPr>
      <w:r>
        <w:t xml:space="preserve">Financial Impact Analysis</w:t>
      </w:r>
    </w:p>
    <w:p>
      <w:pPr>
        <w:pStyle w:val="FirstParagraph"/>
      </w:pPr>
      <w:r>
        <w:t xml:space="preserve">The strategic focus on Medical Researcher recruitment has generated substantial ROI for our Birmingham operations. As detailed in this Sales Report:</w:t>
      </w:r>
    </w:p>
    <w:p>
      <w:pPr>
        <w:pStyle w:val="BodyText"/>
      </w:pPr>
      <w:r>
        <w:t xml:space="preserve">Performance Metric</w:t>
      </w:r>
    </w:p>
    <w:p>
      <w:pPr>
        <w:pStyle w:val="BodyText"/>
      </w:pPr>
      <w:r>
        <w:t xml:space="preserve">Q3 2023</w:t>
      </w:r>
    </w:p>
    <w:p>
      <w:pPr>
        <w:pStyle w:val="BodyText"/>
      </w:pPr>
      <w:r>
        <w:t xml:space="preserve">% Change vs Q2 2023</w:t>
      </w:r>
    </w:p>
    <w:p>
      <w:pPr>
        <w:pStyle w:val="BodyText"/>
      </w:pPr>
      <w:r>
        <w:t xml:space="preserve">Revenue from Medical Researcher Placements</w:t>
      </w:r>
    </w:p>
    <w:p>
      <w:pPr>
        <w:pStyle w:val="BodyText"/>
      </w:pPr>
      <w:r>
        <w:t xml:space="preserve">£1.45M</w:t>
      </w:r>
    </w:p>
    <w:p>
      <w:pPr>
        <w:pStyle w:val="BodyText"/>
      </w:pPr>
      <w:r>
        <w:t xml:space="preserve">+19.8%</w:t>
      </w:r>
    </w:p>
    <w:p>
      <w:pPr>
        <w:pStyle w:val="BodyText"/>
      </w:pPr>
      <w:r>
        <w:t xml:space="preserve">New Client Acquisition (Biotech)</w:t>
      </w:r>
    </w:p>
    <w:p>
      <w:pPr>
        <w:pStyle w:val="BodyText"/>
      </w:pPr>
      <w:r>
        <w:t xml:space="preserve">7 firms</w:t>
      </w:r>
    </w:p>
    <w:p>
      <w:pPr>
        <w:pStyle w:val="BodyText"/>
      </w:pPr>
      <w:r>
        <w:t xml:space="preserve">&lt;</w:t>
      </w:r>
    </w:p>
    <w:p>
      <w:pPr>
        <w:pStyle w:val="BodyText"/>
      </w:pPr>
      <w:r>
        <w:t xml:space="preserve">+32%</w:t>
      </w:r>
    </w:p>
    <w:p>
      <w:pPr>
        <w:pStyle w:val="BodyText"/>
      </w:pPr>
      <w:r>
        <w:t xml:space="preserve">Client Retention Rate</w:t>
      </w:r>
    </w:p>
    <w:p>
      <w:pPr>
        <w:pStyle w:val="BodyText"/>
      </w:pPr>
      <w:r>
        <w:t xml:space="preserve">89%</w:t>
      </w:r>
    </w:p>
    <w:p>
      <w:pPr>
        <w:pStyle w:val="BodyText"/>
      </w:pPr>
      <w:r>
        <w:t xml:space="preserve">+6.2%</w:t>
      </w:r>
    </w:p>
    <w:p>
      <w:pPr>
        <w:pStyle w:val="BodyText"/>
      </w:pPr>
      <w:r>
        <w:t xml:space="preserve">Clinical Trial Capacity Growth</w:t>
      </w:r>
    </w:p>
    <w:p>
      <w:pPr>
        <w:pStyle w:val="BodyText"/>
      </w:pPr>
      <w:r>
        <w:t xml:space="preserve">14 trials</w:t>
      </w:r>
    </w:p>
    <w:p>
      <w:pPr>
        <w:pStyle w:val="BodyText"/>
      </w:pPr>
      <w:r>
        <w:t xml:space="preserve">&lt; td&gt;+47%</w:t>
      </w:r>
    </w:p>
    <w:bookmarkEnd w:id="26"/>
    <w:bookmarkStart w:id="27" w:name="Xcef765333e0b71d4cf82d95bd3ca185c861277d"/>
    <w:p>
      <w:pPr>
        <w:pStyle w:val="Heading2"/>
      </w:pPr>
      <w:r>
        <w:t xml:space="preserve">Conclusion: The Birmingham Medical Research Imperative</w:t>
      </w:r>
    </w:p>
    <w:p>
      <w:pPr>
        <w:pStyle w:val="FirstParagraph"/>
      </w:pPr>
      <w:r>
        <w:t xml:space="preserve">This Sales Report unequivocally demonstrates that strategic investment in Medical Researcher recruitment within United Kingdom Birmingham delivers exponential growth across all key business metrics. With the region's medical research sector projected to grow by 14.3% annually (NHS Digital, 2023), our current recruitment momentum positions BioInnovate Solutions for sustained leadership.</w:t>
      </w:r>
    </w:p>
    <w:p>
      <w:pPr>
        <w:pStyle w:val="BodyText"/>
      </w:pPr>
      <w:r>
        <w:t xml:space="preserve">The success of this Sales Report rests on recognizing that Medical Researcher talent is not merely an operational cost but the primary revenue engine for biotech innovation in Birmingham. Our data proves that every successfully placed Medical Researcher directly contributes to accelerated clinical trials, regulatory approvals, and commercial product development – all critical to the UK's life sciences export strategy.</w:t>
      </w:r>
    </w:p>
    <w:p>
      <w:pPr>
        <w:pStyle w:val="BodyText"/>
      </w:pPr>
      <w:r>
        <w:t xml:space="preserve">As we move into Q4 2023, we will double down on Birmingham-specific initiatives while maintaining our national scale. The United Kingdom Birmingham Medical Researcher market is no longer a regional niche but the engine driving UK-wide biotech competitiveness. Our Sales Report confirms that mastering this market isn't just about filling roles – it's about shaping the future of medical innovation for the entire United Kingdom.</w:t>
      </w:r>
    </w:p>
    <w:p>
      <w:pPr>
        <w:pStyle w:val="BodyText"/>
      </w:pPr>
      <w:r>
        <w:rPr>
          <w:bCs/>
          <w:b/>
        </w:rPr>
        <w:t xml:space="preserve">Prepared By:</w:t>
      </w:r>
      <w:r>
        <w:t xml:space="preserve"> </w:t>
      </w:r>
      <w:r>
        <w:t xml:space="preserve">Sarah Jennings, Director of Talent Strategy</w:t>
      </w:r>
      <w:r>
        <w:br/>
      </w:r>
      <w:r>
        <w:rPr>
          <w:bCs/>
          <w:b/>
        </w:rPr>
        <w:t xml:space="preserve">Company:</w:t>
      </w:r>
      <w:r>
        <w:t xml:space="preserve"> </w:t>
      </w:r>
      <w:r>
        <w:t xml:space="preserve">BioInnovate Solutions UK</w:t>
      </w:r>
      <w:r>
        <w:br/>
      </w:r>
      <w:r>
        <w:rPr>
          <w:bCs/>
          <w:b/>
        </w:rPr>
        <w:t xml:space="preserve">Contact:</w:t>
      </w:r>
      <w:r>
        <w:t xml:space="preserve"> </w:t>
      </w:r>
      <w:r>
        <w:t xml:space="preserve">sarah.jennings@bioinnovatesolutions.co.uk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Sales Performance Report - United Kingdom Birmingham</dc:title>
  <dc:creator/>
  <dc:language>en</dc:language>
  <cp:keywords/>
  <dcterms:created xsi:type="dcterms:W3CDTF">2026-07-24T12:40:17Z</dcterms:created>
  <dcterms:modified xsi:type="dcterms:W3CDTF">2026-07-24T12:40:17Z</dcterms:modified>
</cp:coreProperties>
</file>

<file path=docProps/custom.xml><?xml version="1.0" encoding="utf-8"?>
<Properties xmlns="http://schemas.openxmlformats.org/officeDocument/2006/custom-properties" xmlns:vt="http://schemas.openxmlformats.org/officeDocument/2006/docPropsVTypes"/>
</file>