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Medical</w:t>
      </w:r>
      <w:r>
        <w:t xml:space="preserve"> </w:t>
      </w:r>
      <w:r>
        <w:t xml:space="preserve">Research</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9cef2f737521dc8469acade16d794a7b031027f"/>
    <w:p>
      <w:pPr>
        <w:pStyle w:val="Heading1"/>
      </w:pPr>
      <w:r>
        <w:t xml:space="preserve">Quarterly Sales Report: Medical Research Services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Insights Division, Global Health Analytics Group</w:t>
      </w:r>
    </w:p>
    <w:bookmarkStart w:id="20" w:name="executive-summary"/>
    <w:p>
      <w:pPr>
        <w:pStyle w:val="Heading2"/>
      </w:pPr>
      <w:r>
        <w:t xml:space="preserve">1. Executive Summary</w:t>
      </w:r>
    </w:p>
    <w:p>
      <w:pPr>
        <w:pStyle w:val="FirstParagraph"/>
      </w:pPr>
      <w:r>
        <w:t xml:space="preserve">This Sales Report presents a comprehensive analysis of medical research service sales performance across the United Kingdom London market for Q3 2023. The data reveals robust growth in demand for specialized Medical Researcher services, driven by accelerated pharmaceutical development pipelines and government-backed health initiatives. London remains the undisputed epicenter of medical innovation within the United Kingdom, accounting for 42% of all high-value research contracts secured this quarter. Our sales team achieved a 17% year-on-year revenue increase in this sector, with particular strength in oncology and neurodegenerative disease research domains.</w:t>
      </w:r>
    </w:p>
    <w:bookmarkEnd w:id="20"/>
    <w:bookmarkStart w:id="21" w:name="london-market-dynamics-sales-performance"/>
    <w:p>
      <w:pPr>
        <w:pStyle w:val="Heading2"/>
      </w:pPr>
      <w:r>
        <w:t xml:space="preserve">2. London Market Dynamics &amp; Sales Performance</w:t>
      </w:r>
    </w:p>
    <w:p>
      <w:pPr>
        <w:pStyle w:val="FirstParagraph"/>
      </w:pPr>
      <w:r>
        <w:t xml:space="preserve">The United Kingdom London medical research ecosystem continues to demonstrate exceptional resilience despite global economic pressures. As the capital city of the United Kingdom, London hosts 38% of all NHS clinical trial sites and 71% of major pharmaceutical R&amp;D centers – creating unparalleled demand for expert Medical Researcher talent. Our Q3 sales data confirms this trend:</w:t>
      </w:r>
    </w:p>
    <w:p>
      <w:pPr>
        <w:pStyle w:val="BodyText"/>
      </w:pPr>
      <w:r>
        <w:rPr>
          <w:bCs/>
          <w:b/>
        </w:rPr>
        <w:t xml:space="preserve">Contract Value Growth:</w:t>
      </w:r>
      <w:r>
        <w:t xml:space="preserve"> </w:t>
      </w:r>
      <w:r>
        <w:t xml:space="preserve">£24.8M secured in London (vs £21.2M in Q2), representing 16.9% quarterly growth.</w:t>
      </w:r>
    </w:p>
    <w:p>
      <w:pPr>
        <w:pStyle w:val="BodyText"/>
      </w:pPr>
      <w:r>
        <w:rPr>
          <w:bCs/>
          <w:b/>
        </w:rPr>
        <w:t xml:space="preserve">Client Acquisition:</w:t>
      </w:r>
      <w:r>
        <w:t xml:space="preserve"> </w:t>
      </w:r>
      <w:r>
        <w:t xml:space="preserve">14 new institutional clients added, including Imperial College Healthcare NHS Trust and UCL Partners – the highest quarterly intake since 2020.</w:t>
      </w:r>
    </w:p>
    <w:p>
      <w:pPr>
        <w:pStyle w:val="BodyText"/>
      </w:pPr>
    </w:p>
    <w:p>
      <w:pPr>
        <w:pStyle w:val="BodyText"/>
      </w:pPr>
      <w:r>
        <w:rPr>
          <w:iCs/>
          <w:i/>
        </w:rPr>
        <w:t xml:space="preserve">Medical Researcher</w:t>
      </w:r>
      <w:r>
        <w:t xml:space="preserve"> </w:t>
      </w:r>
      <w:r>
        <w:t xml:space="preserve">Demand Surge:</w:t>
      </w:r>
    </w:p>
    <w:p>
      <w:pPr>
        <w:numPr>
          <w:ilvl w:val="0"/>
          <w:numId w:val="1001"/>
        </w:numPr>
        <w:pStyle w:val="Compact"/>
      </w:pPr>
      <w:r>
        <w:t xml:space="preserve">Clinical Research Associate (CRA) roles: 37% increase in recruitment requests</w:t>
      </w:r>
    </w:p>
    <w:p>
      <w:pPr>
        <w:numPr>
          <w:ilvl w:val="0"/>
          <w:numId w:val="1001"/>
        </w:numPr>
        <w:pStyle w:val="Compact"/>
      </w:pPr>
      <w:r>
        <w:t xml:space="preserve">Biostatistics specialists: 29% rise in demand for data-driven Medical Researcher positions</w:t>
      </w:r>
    </w:p>
    <w:p>
      <w:pPr>
        <w:numPr>
          <w:ilvl w:val="0"/>
          <w:numId w:val="1001"/>
        </w:numPr>
        <w:pStyle w:val="Compact"/>
      </w:pPr>
      <w:r>
        <w:t xml:space="preserve">Regulatory Affairs expertise: 41% growth as London-based biotech firms navigate MHRA compliance post-Brexit</w:t>
      </w:r>
    </w:p>
    <w:p>
      <w:pPr>
        <w:pStyle w:val="FirstParagraph"/>
      </w:pPr>
      <w:r>
        <w:t xml:space="preserve">This surge directly correlates with the UK Government's £2.3B Life Sciences Vision 2030 investment, which has accelerated clinical trial approvals by 28% in Greater London. Our sales strategy capitalizing on this momentum – particularly through tailored proposals for Medical Researcher resource planning – proved highly effective.</w:t>
      </w:r>
    </w:p>
    <w:bookmarkEnd w:id="21"/>
    <w:bookmarkStart w:id="22" w:name="X3395622ea87f92ff506d845817b26c15098f8a2"/>
    <w:p>
      <w:pPr>
        <w:pStyle w:val="Heading2"/>
      </w:pPr>
      <w:r>
        <w:t xml:space="preserve">3. Key Sales Drivers in United Kingdom London</w:t>
      </w:r>
    </w:p>
    <w:p>
      <w:pPr>
        <w:pStyle w:val="FirstParagraph"/>
      </w:pPr>
      <w:r>
        <w:t xml:space="preserve">Three pivotal factors propelled our Q3 success in the United Kingdom London market:</w:t>
      </w:r>
    </w:p>
    <w:p>
      <w:pPr>
        <w:numPr>
          <w:ilvl w:val="0"/>
          <w:numId w:val="1002"/>
        </w:numPr>
        <w:pStyle w:val="Compact"/>
      </w:pPr>
      <w:r>
        <w:rPr>
          <w:bCs/>
          <w:b/>
        </w:rPr>
        <w:t xml:space="preserve">Post-Brexit Regulatory Advantage:</w:t>
      </w:r>
      <w:r>
        <w:t xml:space="preserve"> </w:t>
      </w:r>
      <w:r>
        <w:t xml:space="preserve">The MHRA's streamlined approval process for EU-aligned trials (effective January 2023) created urgent demand for Medical Researchers with dual regulatory expertise. We secured 7 contracts requiring this specific skill set, contributing £5.3M to Q3 revenue.</w:t>
      </w:r>
    </w:p>
    <w:p>
      <w:pPr>
        <w:numPr>
          <w:ilvl w:val="0"/>
          <w:numId w:val="1002"/>
        </w:numPr>
        <w:pStyle w:val="Compact"/>
      </w:pPr>
      <w:r>
        <w:rPr>
          <w:bCs/>
          <w:b/>
        </w:rPr>
        <w:t xml:space="preserve">London's Biotech Boom:</w:t>
      </w:r>
      <w:r>
        <w:t xml:space="preserve"> </w:t>
      </w:r>
      <w:r>
        <w:t xml:space="preserve">The city's emergence as Europe's top biotech hub (14 new startups in Q3) generated 22% of our new business. Our "Medical Researcher Talent Pipeline" service – offering pre-vetted researchers with UK/EU certification – was the differentiator in 9 of these deals.</w:t>
      </w:r>
    </w:p>
    <w:p>
      <w:pPr>
        <w:numPr>
          <w:ilvl w:val="0"/>
          <w:numId w:val="1002"/>
        </w:numPr>
        <w:pStyle w:val="Compact"/>
      </w:pPr>
      <w:r>
        <w:rPr>
          <w:bCs/>
          <w:b/>
        </w:rPr>
        <w:t xml:space="preserve">NHS Digital Transformation:</w:t>
      </w:r>
      <w:r>
        <w:t xml:space="preserve"> </w:t>
      </w:r>
      <w:r>
        <w:t xml:space="preserve">The NHS Long Term Plan's focus on AI-driven clinical research created a new market segment. Our London sales team successfully positioned our Medical Researcher-led data analytics suite to 5 major teaching hospitals, generating £3.1M in revenue.</w:t>
      </w:r>
    </w:p>
    <w:bookmarkEnd w:id="22"/>
    <w:bookmarkStart w:id="23" w:name="competitive-landscape-differentiation"/>
    <w:p>
      <w:pPr>
        <w:pStyle w:val="Heading2"/>
      </w:pPr>
      <w:r>
        <w:t xml:space="preserve">4. Competitive Landscape &amp; Differentiation</w:t>
      </w:r>
    </w:p>
    <w:p>
      <w:pPr>
        <w:pStyle w:val="FirstParagraph"/>
      </w:pPr>
      <w:r>
        <w:t xml:space="preserve">While London's medical research market attracts intense competition (notably from US-based CROs), our local expertise provides critical advantage:</w:t>
      </w:r>
    </w:p>
    <w:p>
      <w:pPr>
        <w:numPr>
          <w:ilvl w:val="0"/>
          <w:numId w:val="1003"/>
        </w:numPr>
        <w:pStyle w:val="Compact"/>
      </w:pPr>
      <w:r>
        <w:rPr>
          <w:bCs/>
          <w:b/>
        </w:rPr>
        <w:t xml:space="preserve">Regulatory Navigation:</w:t>
      </w:r>
      <w:r>
        <w:t xml:space="preserve"> </w:t>
      </w:r>
      <w:r>
        <w:t xml:space="preserve">Our London-based Medical Researchers possess firsthand knowledge of the UK's unique healthcare system, reducing client onboarding time by 33% versus competitors.</w:t>
      </w:r>
    </w:p>
    <w:p>
      <w:pPr>
        <w:numPr>
          <w:ilvl w:val="0"/>
          <w:numId w:val="1003"/>
        </w:numPr>
        <w:pStyle w:val="Compact"/>
      </w:pPr>
      <w:r>
        <w:rPr>
          <w:bCs/>
          <w:b/>
        </w:rPr>
        <w:t xml:space="preserve">Talent Localization:</w:t>
      </w:r>
      <w:r>
        <w:t xml:space="preserve"> </w:t>
      </w:r>
      <w:r>
        <w:t xml:space="preserve">89% of our deployed Medical Researchers in United Kingdom London are locally recruited, ensuring cultural alignment with NHS protocols and patient community engagement – a key factor for 76% of new clients.</w:t>
      </w:r>
    </w:p>
    <w:p>
      <w:pPr>
        <w:numPr>
          <w:ilvl w:val="0"/>
          <w:numId w:val="1003"/>
        </w:numPr>
        <w:pStyle w:val="Compact"/>
      </w:pPr>
      <w:r>
        <w:rPr>
          <w:bCs/>
          <w:b/>
        </w:rPr>
        <w:t xml:space="preserve">Strategic Partnerships:</w:t>
      </w:r>
      <w:r>
        <w:t xml:space="preserve"> </w:t>
      </w:r>
      <w:r>
        <w:t xml:space="preserve">Collaborations with University College London (UCL) and the Francis Crick Institute now drive 31% of our sales pipeline, an increase of 19 percentage points since Q1 2023.</w:t>
      </w:r>
    </w:p>
    <w:bookmarkEnd w:id="23"/>
    <w:bookmarkStart w:id="24" w:name="Xe6ddcb9747dc64cdc5758713ac7d34f63f5ece1"/>
    <w:p>
      <w:pPr>
        <w:pStyle w:val="Heading2"/>
      </w:pPr>
      <w:r>
        <w:t xml:space="preserve">5. Challenges in United Kingdom London Market</w:t>
      </w:r>
    </w:p>
    <w:p>
      <w:pPr>
        <w:pStyle w:val="FirstParagraph"/>
      </w:pPr>
      <w:r>
        <w:t xml:space="preserve">Despite strong performance, three challenges require urgent attention:</w:t>
      </w:r>
    </w:p>
    <w:p>
      <w:pPr>
        <w:numPr>
          <w:ilvl w:val="0"/>
          <w:numId w:val="1004"/>
        </w:numPr>
        <w:pStyle w:val="Compact"/>
      </w:pPr>
      <w:r>
        <w:rPr>
          <w:bCs/>
          <w:b/>
        </w:rPr>
        <w:t xml:space="preserve">Talent Retention Crisis:</w:t>
      </w:r>
      <w:r>
        <w:t xml:space="preserve"> </w:t>
      </w:r>
      <w:r>
        <w:t xml:space="preserve">Competition from London's pharmaceutical giants (e.g., AstraZeneca, GSK) is driving 18% of our senior Medical Researchers to leave for higher salaries. Our current retention rate (73%) lags behind market average (82%).</w:t>
      </w:r>
    </w:p>
    <w:p>
      <w:pPr>
        <w:numPr>
          <w:ilvl w:val="0"/>
          <w:numId w:val="1004"/>
        </w:numPr>
        <w:pStyle w:val="Compact"/>
      </w:pPr>
      <w:r>
        <w:rPr>
          <w:bCs/>
          <w:b/>
        </w:rPr>
        <w:t xml:space="preserve">Regulatory Fragmentation:</w:t>
      </w:r>
      <w:r>
        <w:t xml:space="preserve"> </w:t>
      </w:r>
      <w:r>
        <w:t xml:space="preserve">Diverging requirements between UK and EU clinical trial frameworks create complex reporting needs, increasing project management costs by 14% in Q3.</w:t>
      </w:r>
    </w:p>
    <w:p>
      <w:pPr>
        <w:numPr>
          <w:ilvl w:val="0"/>
          <w:numId w:val="1004"/>
        </w:numPr>
        <w:pStyle w:val="Compact"/>
      </w:pPr>
      <w:r>
        <w:rPr>
          <w:bCs/>
          <w:b/>
        </w:rPr>
        <w:t xml:space="preserve">Post-Pandemic Budget Constraints:</w:t>
      </w:r>
      <w:r>
        <w:t xml:space="preserve"> </w:t>
      </w:r>
      <w:r>
        <w:t xml:space="preserve">While NHS trusts increased research funding, their procurement cycles have lengthened by 22 days on average, delaying payment terms for London-based projects.</w:t>
      </w:r>
    </w:p>
    <w:bookmarkEnd w:id="24"/>
    <w:bookmarkStart w:id="25" w:name="strategic-recommendations-for-q4"/>
    <w:p>
      <w:pPr>
        <w:pStyle w:val="Heading2"/>
      </w:pPr>
      <w:r>
        <w:t xml:space="preserve">6. Strategic Recommendations for Q4</w:t>
      </w:r>
    </w:p>
    <w:p>
      <w:pPr>
        <w:pStyle w:val="FirstParagraph"/>
      </w:pPr>
      <w:r>
        <w:t xml:space="preserve">To sustain momentum in the United Kingdom London market, we recommend:</w:t>
      </w:r>
    </w:p>
    <w:p>
      <w:pPr>
        <w:numPr>
          <w:ilvl w:val="0"/>
          <w:numId w:val="1005"/>
        </w:numPr>
        <w:pStyle w:val="Compact"/>
      </w:pPr>
      <w:r>
        <w:rPr>
          <w:bCs/>
          <w:b/>
        </w:rPr>
        <w:t xml:space="preserve">Launch "Medical Researcher Residency Program":</w:t>
      </w:r>
      <w:r>
        <w:t xml:space="preserve"> </w:t>
      </w:r>
      <w:r>
        <w:t xml:space="preserve">Partner with King's College London to develop a 6-month clinical research fellowship, targeting 50% talent acquisition from this pipeline by Q2 2024.</w:t>
      </w:r>
    </w:p>
    <w:p>
      <w:pPr>
        <w:numPr>
          <w:ilvl w:val="0"/>
          <w:numId w:val="1005"/>
        </w:numPr>
        <w:pStyle w:val="Compact"/>
      </w:pPr>
      <w:r>
        <w:rPr>
          <w:bCs/>
          <w:b/>
        </w:rPr>
        <w:t xml:space="preserve">Develop Unified Regulatory Toolkit:</w:t>
      </w:r>
      <w:r>
        <w:t xml:space="preserve"> </w:t>
      </w:r>
      <w:r>
        <w:t xml:space="preserve">Create an AI-powered platform integrating UK/EU compliance requirements, reducing client onboarding time by 35% and positioning us as the regulatory leader in London.</w:t>
      </w:r>
    </w:p>
    <w:p>
      <w:pPr>
        <w:numPr>
          <w:ilvl w:val="0"/>
          <w:numId w:val="1005"/>
        </w:numPr>
        <w:pStyle w:val="Compact"/>
      </w:pPr>
      <w:r>
        <w:rPr>
          <w:bCs/>
          <w:b/>
        </w:rPr>
        <w:t xml:space="preserve">Target NHS Digital Health Initiatives:</w:t>
      </w:r>
      <w:r>
        <w:t xml:space="preserve"> </w:t>
      </w:r>
      <w:r>
        <w:t xml:space="preserve">Allocate 20% of sales resources to bid for contracts under the NHS AI Lab's £150M digital health fund, specifically designed to accelerate Medical Researcher deployment in London.</w:t>
      </w:r>
    </w:p>
    <w:bookmarkEnd w:id="25"/>
    <w:bookmarkStart w:id="26" w:name="conclusion"/>
    <w:p>
      <w:pPr>
        <w:pStyle w:val="Heading2"/>
      </w:pPr>
      <w:r>
        <w:t xml:space="preserve">7. Conclusion</w:t>
      </w:r>
    </w:p>
    <w:p>
      <w:pPr>
        <w:pStyle w:val="FirstParagraph"/>
      </w:pPr>
      <w:r>
        <w:t xml:space="preserve">The United Kingdom London medical research sector represents our most valuable growth market, with demand for specialized Medical Researcher services showing no signs of deceleration. This Sales Report confirms that our localized approach – leveraging deep understanding of London's unique healthcare ecosystem and regulatory environment – delivers superior client outcomes and revenue potential. As the UK cements its position as Europe's medical innovation leader through initiatives like Life Sciences Vision 2030, strategic investment in Medical Researcher talent development will be critical to maintaining our competitive edge. We project Q4 revenue growth of 19-22% based on current sales pipeline momentum, positioning London as our flagship market for global expansion.</w:t>
      </w:r>
    </w:p>
    <w:p>
      <w:pPr>
        <w:pStyle w:val="BodyText"/>
      </w:pPr>
      <w:r>
        <w:rPr>
          <w:bCs/>
          <w:b/>
        </w:rPr>
        <w:t xml:space="preserve">Appendix A: Key Metrics Summary</w:t>
      </w:r>
    </w:p>
    <w:p>
      <w:pPr>
        <w:pStyle w:val="BodyText"/>
      </w:pPr>
      <w:r>
        <w:t xml:space="preserve">Performance Indicator</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London Revenue</w:t>
      </w:r>
    </w:p>
    <w:p>
      <w:pPr>
        <w:pStyle w:val="BodyText"/>
      </w:pPr>
      <w:r>
        <w:t xml:space="preserve">£24.8M</w:t>
      </w:r>
    </w:p>
    <w:p>
      <w:pPr>
        <w:pStyle w:val="BodyText"/>
      </w:pPr>
      <w:r>
        <w:t xml:space="preserve">£21.2M</w:t>
      </w:r>
    </w:p>
    <w:p>
      <w:pPr>
        <w:pStyle w:val="BodyText"/>
      </w:pPr>
      <w:r>
        <w:t xml:space="preserve">+16.9%</w:t>
      </w:r>
    </w:p>
    <w:p>
      <w:pPr>
        <w:pStyle w:val="BodyText"/>
      </w:pPr>
      <w:r>
        <w:t xml:space="preserve">New Medical Researcher Contracts Signed</w:t>
      </w:r>
    </w:p>
    <w:p>
      <w:pPr>
        <w:pStyle w:val="BodyText"/>
      </w:pPr>
      <w:r>
        <w:t xml:space="preserve">37</w:t>
      </w:r>
    </w:p>
    <w:p>
      <w:pPr>
        <w:pStyle w:val="BodyText"/>
      </w:pPr>
      <w:r>
        <w:t xml:space="preserve">28</w:t>
      </w:r>
    </w:p>
    <w:p>
      <w:pPr>
        <w:pStyle w:val="BodyText"/>
      </w:pPr>
      <w:r>
        <w:t xml:space="preserve">+32.1%</w:t>
      </w:r>
    </w:p>
    <w:p>
      <w:pPr>
        <w:pStyle w:val="BodyText"/>
      </w:pPr>
      <w:r>
        <w:t xml:space="preserve">Average Contract Value (London)</w:t>
      </w:r>
    </w:p>
    <w:p>
      <w:pPr>
        <w:pStyle w:val="BodyText"/>
      </w:pPr>
      <w:r>
        <w:t xml:space="preserve">£670K</w:t>
      </w:r>
    </w:p>
    <w:p>
      <w:pPr>
        <w:pStyle w:val="BodyText"/>
      </w:pPr>
      <w:r>
        <w:t xml:space="preserve">£645K</w:t>
      </w:r>
    </w:p>
    <w:p>
      <w:pPr>
        <w:pStyle w:val="BodyText"/>
      </w:pPr>
      <w:r>
        <w:t xml:space="preserve">+3.9%</w:t>
      </w:r>
    </w:p>
    <w:p>
      <w:pPr>
        <w:pStyle w:val="BodyText"/>
      </w:pPr>
      <w:r>
        <w:t xml:space="preserve">Market Share in London Medical Research Services</w:t>
      </w:r>
    </w:p>
    <w:p>
      <w:pPr>
        <w:pStyle w:val="BodyText"/>
      </w:pPr>
      <w:r>
        <w:t xml:space="preserve">18.7% (vs 15.4% Q2)</w:t>
      </w:r>
    </w:p>
    <w:p>
      <w:pPr>
        <w:pStyle w:val="BodyText"/>
      </w:pPr>
      <w:r>
        <w:rPr>
          <w:iCs/>
          <w:i/>
        </w:rPr>
        <w:t xml:space="preserve">This Sales Report is confidential and intended solely for internal executive use. Distribution requires authorization from the Chief Commercial Officer.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Medical Research Services in United Kingdom London</dc:title>
  <dc:creator/>
  <dc:language>en</dc:language>
  <cp:keywords/>
  <dcterms:created xsi:type="dcterms:W3CDTF">2026-07-24T16:00:47Z</dcterms:created>
  <dcterms:modified xsi:type="dcterms:W3CDTF">2026-07-24T16:00:47Z</dcterms:modified>
</cp:coreProperties>
</file>

<file path=docProps/custom.xml><?xml version="1.0" encoding="utf-8"?>
<Properties xmlns="http://schemas.openxmlformats.org/officeDocument/2006/custom-properties" xmlns:vt="http://schemas.openxmlformats.org/officeDocument/2006/docPropsVTypes"/>
</file>