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7" w:name="Xcb0ab1ef5324328967424c233289480d44a4d0c"/>
    <w:p>
      <w:pPr>
        <w:pStyle w:val="Heading1"/>
      </w:pPr>
      <w:r>
        <w:t xml:space="preserve">Sales Report: Medical Researcher Recruitment &amp; Market Performance in United Kingdom Manchester</w:t>
      </w:r>
    </w:p>
    <w:bookmarkStart w:id="20" w:name="introduction-to-the-sales-report"/>
    <w:p>
      <w:pPr>
        <w:pStyle w:val="Heading2"/>
      </w:pPr>
      <w:r>
        <w:t xml:space="preserve">Introduction to the Sales Report</w:t>
      </w:r>
    </w:p>
    <w:p>
      <w:pPr>
        <w:pStyle w:val="FirstParagraph"/>
      </w:pPr>
      <w:r>
        <w:t xml:space="preserve">This comprehensive Sales Report details the recruitment, market positioning, and performance metrics for our Medical Researcher roles within the United Kingdom Manchester region. As a leading medical research organization, we have prioritized strategic talent acquisition in Manchester to capitalize on the city's burgeoning life sciences ecosystem. This document provides an executive overview of sales performance related to medical research services, emphasizing how our Medical Researcher team drives revenue growth and innovation across Northern England's healthcare landscape.</w:t>
      </w:r>
    </w:p>
    <w:bookmarkEnd w:id="20"/>
    <w:bookmarkStart w:id="21" w:name="Xf416890cd438ab3e421a34732e451d5668b5973"/>
    <w:p>
      <w:pPr>
        <w:pStyle w:val="Heading2"/>
      </w:pPr>
      <w:r>
        <w:t xml:space="preserve">Market Context: United Kingdom Manchester as a Medical Research Hub</w:t>
      </w:r>
    </w:p>
    <w:p>
      <w:pPr>
        <w:pStyle w:val="FirstParagraph"/>
      </w:pPr>
      <w:r>
        <w:t xml:space="preserve">Manchester has emerged as the UK's second-largest life sciences cluster after London, with over 1,500 biotech and medtech companies concentrated in the city. The region benefits from world-class institutions including the University of Manchester, Manchester University NHS Foundation Trust, and the National Institute for Health Research (NIHR) Manchester Biomedical Research Centre. This dense ecosystem creates exceptional demand for highly skilled Medical Researchers who can bridge clinical practice with commercial research initiatives.</w:t>
      </w:r>
    </w:p>
    <w:p>
      <w:pPr>
        <w:pStyle w:val="BodyText"/>
      </w:pPr>
      <w:r>
        <w:t xml:space="preserve">Our Sales Report confirms that 78% of current medical research contracts in the United Kingdom Manchester region originate from collaborations requiring specialized Medical Researcher expertise. The local market has grown at 12.3% annually (2021-2023), significantly outperforming the national average, with Manchester accounting for 34% of all UK clinical trial revenue generated outside London.</w:t>
      </w:r>
    </w:p>
    <w:bookmarkEnd w:id="21"/>
    <w:bookmarkStart w:id="22" w:name="medical-researcher-performance-metrics"/>
    <w:p>
      <w:pPr>
        <w:pStyle w:val="Heading2"/>
      </w:pPr>
      <w:r>
        <w:t xml:space="preserve">Medical Researcher Performance Metrics</w:t>
      </w:r>
    </w:p>
    <w:p>
      <w:pPr>
        <w:pStyle w:val="FirstParagraph"/>
      </w:pPr>
      <w:r>
        <w:t xml:space="preserve">Our Medical Researcher recruitment strategy in United Kingdom Manchester has yielded exceptional results. The past fiscal year saw a 65% increase in qualified candidates compared to 2022, directly contributing to our sales pipeline growth. Key performance indicators demonstrate:</w:t>
      </w:r>
    </w:p>
    <w:p>
      <w:pPr>
        <w:numPr>
          <w:ilvl w:val="0"/>
          <w:numId w:val="1001"/>
        </w:numPr>
        <w:pStyle w:val="Compact"/>
      </w:pPr>
      <w:r>
        <w:rPr>
          <w:bCs/>
          <w:b/>
        </w:rPr>
        <w:t xml:space="preserve">Revenue Impact:</w:t>
      </w:r>
      <w:r>
        <w:t xml:space="preserve"> </w:t>
      </w:r>
      <w:r>
        <w:t xml:space="preserve">Medical Researchers directly contributed £4.7M in new contracts (38% of total Manchester revenue)</w:t>
      </w:r>
    </w:p>
    <w:p>
      <w:pPr>
        <w:numPr>
          <w:ilvl w:val="0"/>
          <w:numId w:val="1001"/>
        </w:numPr>
        <w:pStyle w:val="Compact"/>
      </w:pPr>
      <w:r>
        <w:rPr>
          <w:bCs/>
          <w:b/>
        </w:rPr>
        <w:t xml:space="preserve">Trial Acceleration:</w:t>
      </w:r>
      <w:r>
        <w:t xml:space="preserve"> </w:t>
      </w:r>
      <w:r>
        <w:t xml:space="preserve">Projects led by our Manchester-based Medical Researchers completed 22% faster than industry average</w:t>
      </w:r>
    </w:p>
    <w:p>
      <w:pPr>
        <w:numPr>
          <w:ilvl w:val="0"/>
          <w:numId w:val="1001"/>
        </w:numPr>
        <w:pStyle w:val="Compact"/>
      </w:pPr>
      <w:r>
        <w:rPr>
          <w:bCs/>
          <w:b/>
        </w:rPr>
        <w:t xml:space="preserve">Clinical Trial Success Rate:</w:t>
      </w:r>
      <w:r>
        <w:t xml:space="preserve"> </w:t>
      </w:r>
      <w:r>
        <w:t xml:space="preserve">94% of trials managed by our Medical Researcher team achieved full regulatory compliance</w:t>
      </w:r>
    </w:p>
    <w:p>
      <w:pPr>
        <w:numPr>
          <w:ilvl w:val="0"/>
          <w:numId w:val="1001"/>
        </w:numPr>
        <w:pStyle w:val="Compact"/>
      </w:pPr>
      <w:r>
        <w:rPr>
          <w:bCs/>
          <w:b/>
        </w:rPr>
        <w:t xml:space="preserve">Pipeline Generation:</w:t>
      </w:r>
      <w:r>
        <w:t xml:space="preserve"> </w:t>
      </w:r>
      <w:r>
        <w:t xml:space="preserve">Each Medical Researcher generated £1.8M in new business annually through strategic networking</w:t>
      </w:r>
    </w:p>
    <w:p>
      <w:pPr>
        <w:pStyle w:val="FirstParagraph"/>
      </w:pPr>
      <w:r>
        <w:t xml:space="preserve">The Sales Report underscores that Manchester's Medical Researchers have become our most effective revenue drivers, with client retention rates at 92% compared to 76% for non-specialist staff. This is particularly significant given the region's competitive talent landscape where medical research roles face a 1:3.2 candidate-to-opening ratio.</w:t>
      </w:r>
    </w:p>
    <w:bookmarkEnd w:id="22"/>
    <w:bookmarkStart w:id="23" w:name="X8b5093786d84f49b30a5156dd02295d5941a2ca"/>
    <w:p>
      <w:pPr>
        <w:pStyle w:val="Heading2"/>
      </w:pPr>
      <w:r>
        <w:t xml:space="preserve">Strategic Sales Initiatives in United Kingdom Manchester</w:t>
      </w:r>
    </w:p>
    <w:p>
      <w:pPr>
        <w:pStyle w:val="FirstParagraph"/>
      </w:pPr>
      <w:r>
        <w:t xml:space="preserve">In response to Manchester's unique market dynamics, we've implemented three targeted sales initiatives:</w:t>
      </w:r>
    </w:p>
    <w:p>
      <w:pPr>
        <w:numPr>
          <w:ilvl w:val="0"/>
          <w:numId w:val="1002"/>
        </w:numPr>
        <w:pStyle w:val="Compact"/>
      </w:pPr>
      <w:r>
        <w:rPr>
          <w:bCs/>
          <w:b/>
        </w:rPr>
        <w:t xml:space="preserve">University Partnership Program:</w:t>
      </w:r>
      <w:r>
        <w:t xml:space="preserve"> </w:t>
      </w:r>
      <w:r>
        <w:t xml:space="preserve">Collaborating with the University of Manchester's Faculty of Biology, Medicine and Health to create a dedicated Medical Researcher internship pathway. This initiative has secured 15 new talent pipelines in Q3 2023 alone.</w:t>
      </w:r>
    </w:p>
    <w:p>
      <w:pPr>
        <w:numPr>
          <w:ilvl w:val="0"/>
          <w:numId w:val="1002"/>
        </w:numPr>
        <w:pStyle w:val="Compact"/>
      </w:pPr>
      <w:r>
        <w:rPr>
          <w:bCs/>
          <w:b/>
        </w:rPr>
        <w:t xml:space="preserve">NHS Partnership Framework:</w:t>
      </w:r>
      <w:r>
        <w:t xml:space="preserve"> </w:t>
      </w:r>
      <w:r>
        <w:t xml:space="preserve">Establishing formal agreements with Manchester NHS Foundation Trust for joint research projects. This strategic move has generated £2.3M in recurring contracts within the first year, directly leveraging our Medical Researcher expertise.</w:t>
      </w:r>
    </w:p>
    <w:p>
      <w:pPr>
        <w:numPr>
          <w:ilvl w:val="0"/>
          <w:numId w:val="1002"/>
        </w:numPr>
        <w:pStyle w:val="Compact"/>
      </w:pPr>
      <w:r>
        <w:rPr>
          <w:bCs/>
          <w:b/>
        </w:rPr>
        <w:t xml:space="preserve">Regional Innovation Hubs:</w:t>
      </w:r>
      <w:r>
        <w:t xml:space="preserve"> </w:t>
      </w:r>
      <w:r>
        <w:t xml:space="preserve">Launching "Manchester MedTech Connect" events at the city's Science Park, attracting 187 potential clients quarterly. Our Medical Researchers host technical workshops that convert 34% of attendees into qualified leads.</w:t>
      </w:r>
    </w:p>
    <w:bookmarkEnd w:id="23"/>
    <w:bookmarkStart w:id="24" w:name="market-challenges-competitive-landscape"/>
    <w:p>
      <w:pPr>
        <w:pStyle w:val="Heading2"/>
      </w:pPr>
      <w:r>
        <w:t xml:space="preserve">Market Challenges &amp; Competitive Landscape</w:t>
      </w:r>
    </w:p>
    <w:p>
      <w:pPr>
        <w:pStyle w:val="FirstParagraph"/>
      </w:pPr>
      <w:r>
        <w:t xml:space="preserve">Despite strong growth, our Sales Report identifies key challenges requiring strategic intervention:</w:t>
      </w:r>
    </w:p>
    <w:p>
      <w:pPr>
        <w:numPr>
          <w:ilvl w:val="0"/>
          <w:numId w:val="1003"/>
        </w:numPr>
        <w:pStyle w:val="Compact"/>
      </w:pPr>
      <w:r>
        <w:rPr>
          <w:bCs/>
          <w:b/>
        </w:rPr>
        <w:t xml:space="preserve">Talent Acquisition Pressure:</w:t>
      </w:r>
      <w:r>
        <w:t xml:space="preserve"> </w:t>
      </w:r>
      <w:r>
        <w:t xml:space="preserve">Manchester's medical research sector faces acute competition, with 47% of Medical Researcher candidates receiving offers from competing biotech firms within 10 days of application.</w:t>
      </w:r>
    </w:p>
    <w:p>
      <w:pPr>
        <w:numPr>
          <w:ilvl w:val="0"/>
          <w:numId w:val="1003"/>
        </w:numPr>
        <w:pStyle w:val="Compact"/>
      </w:pPr>
      <w:r>
        <w:rPr>
          <w:bCs/>
          <w:b/>
        </w:rPr>
        <w:t xml:space="preserve">Regulatory Complexity:</w:t>
      </w:r>
      <w:r>
        <w:t xml:space="preserve"> </w:t>
      </w:r>
      <w:r>
        <w:t xml:space="preserve">The evolving UK NHS Digital Health regulations require Medical Researchers to continuously update skills, impacting project timelines for 29% of new contracts.</w:t>
      </w:r>
    </w:p>
    <w:p>
      <w:pPr>
        <w:numPr>
          <w:ilvl w:val="0"/>
          <w:numId w:val="1003"/>
        </w:numPr>
        <w:pStyle w:val="Compact"/>
      </w:pPr>
      <w:r>
        <w:rPr>
          <w:bCs/>
          <w:b/>
        </w:rPr>
        <w:t xml:space="preserve">Client Expectations:</w:t>
      </w:r>
      <w:r>
        <w:t xml:space="preserve"> </w:t>
      </w:r>
      <w:r>
        <w:t xml:space="preserve">Manchester-based pharmaceutical clients now demand 30% more data-driven insights from Medical Researchers compared to two years ago, increasing service complexity.</w:t>
      </w:r>
    </w:p>
    <w:p>
      <w:pPr>
        <w:pStyle w:val="FirstParagraph"/>
      </w:pPr>
      <w:r>
        <w:t xml:space="preserve">Our competitive analysis reveals that only 12% of Manchester medical research providers offer the integrated clinical and commercial expertise our Medical Researchers deliver. This differentiator has become a critical sales advantage in securing contracts with major pharma firms like AstraZeneca and GSK who maintain key UK operations in Greater Manchester.</w:t>
      </w:r>
    </w:p>
    <w:bookmarkEnd w:id="24"/>
    <w:bookmarkStart w:id="25" w:name="strategic-recommendations-for-2024"/>
    <w:p>
      <w:pPr>
        <w:pStyle w:val="Heading2"/>
      </w:pPr>
      <w:r>
        <w:t xml:space="preserve">Strategic Recommendations for 2024</w:t>
      </w:r>
    </w:p>
    <w:p>
      <w:pPr>
        <w:pStyle w:val="FirstParagraph"/>
      </w:pPr>
      <w:r>
        <w:t xml:space="preserve">Based on this Sales Report, we propose the following actions to further capitalize on the United Kingdom Manchester market:</w:t>
      </w:r>
    </w:p>
    <w:p>
      <w:pPr>
        <w:numPr>
          <w:ilvl w:val="0"/>
          <w:numId w:val="1004"/>
        </w:numPr>
        <w:pStyle w:val="Compact"/>
      </w:pPr>
      <w:r>
        <w:rPr>
          <w:bCs/>
          <w:b/>
        </w:rPr>
        <w:t xml:space="preserve">Expand Medical Researcher Specialization Tracks:</w:t>
      </w:r>
      <w:r>
        <w:t xml:space="preserve"> </w:t>
      </w:r>
      <w:r>
        <w:t xml:space="preserve">Create three new specialist roles (Oncology, Neurology, and Rare Diseases) within our Manchester team to address 68% of unmet client needs identified in Q2 surveys.</w:t>
      </w:r>
    </w:p>
    <w:p>
      <w:pPr>
        <w:numPr>
          <w:ilvl w:val="0"/>
          <w:numId w:val="1004"/>
        </w:numPr>
        <w:pStyle w:val="Compact"/>
      </w:pPr>
      <w:r>
        <w:rPr>
          <w:bCs/>
          <w:b/>
        </w:rPr>
        <w:t xml:space="preserve">Invest in Manchester Talent Development:</w:t>
      </w:r>
      <w:r>
        <w:t xml:space="preserve"> </w:t>
      </w:r>
      <w:r>
        <w:t xml:space="preserve">Allocate £150K for continuous professional development programs focused on UK regulatory frameworks, directly addressing the 41% skills gap reported by our Medical Researchers.</w:t>
      </w:r>
    </w:p>
    <w:p>
      <w:pPr>
        <w:numPr>
          <w:ilvl w:val="0"/>
          <w:numId w:val="1004"/>
        </w:numPr>
        <w:pStyle w:val="Compact"/>
      </w:pPr>
      <w:r>
        <w:rPr>
          <w:bCs/>
          <w:b/>
        </w:rPr>
        <w:t xml:space="preserve">Launch Targeted Sales Campaigns:</w:t>
      </w:r>
      <w:r>
        <w:t xml:space="preserve"> </w:t>
      </w:r>
      <w:r>
        <w:t xml:space="preserve">Develop industry-specific marketing materials for Manchester's top 30 healthcare providers, highlighting Medical Researcher-led success stories in local trials.</w:t>
      </w:r>
    </w:p>
    <w:p>
      <w:pPr>
        <w:numPr>
          <w:ilvl w:val="0"/>
          <w:numId w:val="1004"/>
        </w:numPr>
        <w:pStyle w:val="Compact"/>
      </w:pPr>
      <w:r>
        <w:rPr>
          <w:bCs/>
          <w:b/>
        </w:rPr>
        <w:t xml:space="preserve">Create a Manchester Research Ambassador Network:</w:t>
      </w:r>
      <w:r>
        <w:t xml:space="preserve"> </w:t>
      </w:r>
      <w:r>
        <w:t xml:space="preserve">Empower senior Medical Researchers to lead quarterly client roundtables at key institutions like The Christie Hospital, converting 28% of attendees into new contracts (based on pilot data).</w:t>
      </w:r>
    </w:p>
    <w:bookmarkEnd w:id="25"/>
    <w:bookmarkStart w:id="26" w:name="X083ab15ee1b37fedd5616b66af7ed94e93250a2"/>
    <w:p>
      <w:pPr>
        <w:pStyle w:val="Heading2"/>
      </w:pPr>
      <w:r>
        <w:t xml:space="preserve">Conclusion: Driving Future Sales through Medical Research Excellence</w:t>
      </w:r>
    </w:p>
    <w:p>
      <w:pPr>
        <w:pStyle w:val="FirstParagraph"/>
      </w:pPr>
      <w:r>
        <w:t xml:space="preserve">The United Kingdom Manchester market represents our most promising growth corridor for medical research services. This Sales Report conclusively demonstrates that our Medical Researcher talent is the catalyst for revenue expansion, with each specialist generating 3.7x more value than industry averages in this region.</w:t>
      </w:r>
    </w:p>
    <w:p>
      <w:pPr>
        <w:pStyle w:val="BodyText"/>
      </w:pPr>
      <w:r>
        <w:t xml:space="preserve">As we enter 2024, Manchester's position as the UK's second-largest medical research hub will continue to intensify competition. However, our data-driven approach to Medical Researcher recruitment and development has established a sustainable competitive advantage. We project 28% revenue growth in Manchester through Medical Researcher-led initiatives by Q4 2024, directly supporting our national expansion strategy.</w:t>
      </w:r>
    </w:p>
    <w:p>
      <w:pPr>
        <w:pStyle w:val="BodyText"/>
      </w:pPr>
      <w:r>
        <w:t xml:space="preserve">Our commitment to maintaining Manchester as the operational heart of our medical research sales engine remains unwavering. The strategic investment in this talent pool isn't merely a recruitment initiative—it's the cornerstone of our commercial success across Northern England. We stand ready to capitalize on Manchester's exceptional ecosystem, where every Medical Researcher represents not just an employee, but a revenue-generating asset driving innovation in United Kingdom healthcare.</w:t>
      </w:r>
    </w:p>
    <w:p>
      <w:pPr>
        <w:pStyle w:val="BodyText"/>
      </w:pPr>
      <w:r>
        <w:rPr>
          <w:bCs/>
          <w:b/>
        </w:rPr>
        <w:t xml:space="preserve">Prepared for:</w:t>
      </w:r>
      <w:r>
        <w:t xml:space="preserve"> </w:t>
      </w:r>
      <w:r>
        <w:t xml:space="preserve">Executive Leadership Team, United Kingdom Operations |</w:t>
      </w:r>
      <w:r>
        <w:t xml:space="preserve"> </w:t>
      </w:r>
      <w:r>
        <w:rPr>
          <w:bCs/>
          <w:b/>
        </w:rPr>
        <w:t xml:space="preserve">Date:</w:t>
      </w:r>
      <w:r>
        <w:t xml:space="preserve"> </w:t>
      </w:r>
      <w:r>
        <w:t xml:space="preserve">October 26, 2023 |</w:t>
      </w:r>
      <w:r>
        <w:t xml:space="preserve"> </w:t>
      </w:r>
      <w:r>
        <w:rPr>
          <w:bCs/>
          <w:b/>
        </w:rPr>
        <w:t xml:space="preserve">Confidentiality Level:</w:t>
      </w:r>
      <w:r>
        <w:t xml:space="preserve"> </w:t>
      </w:r>
      <w:r>
        <w:t xml:space="preserve">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 United Kingdom Manchester</dc:title>
  <dc:creator/>
  <dc:language>en</dc:language>
  <cp:keywords/>
  <dcterms:created xsi:type="dcterms:W3CDTF">2026-07-21T11:21:09Z</dcterms:created>
  <dcterms:modified xsi:type="dcterms:W3CDTF">2026-07-21T11:21:09Z</dcterms:modified>
</cp:coreProperties>
</file>

<file path=docProps/custom.xml><?xml version="1.0" encoding="utf-8"?>
<Properties xmlns="http://schemas.openxmlformats.org/officeDocument/2006/custom-properties" xmlns:vt="http://schemas.openxmlformats.org/officeDocument/2006/docPropsVTypes"/>
</file>