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f09569380720af0839b6eb1729664e5aec6474"/>
    <w:p>
      <w:pPr>
        <w:pStyle w:val="Heading1"/>
      </w:pPr>
      <w:r>
        <w:t xml:space="preserve">Sales Report: Medical Researcher Position Performance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Midwest Healthcare Division</w:t>
      </w:r>
      <w:r>
        <w:br/>
      </w:r>
      <w:r>
        <w:rPr>
          <w:bCs/>
          <w:b/>
        </w:rPr>
        <w:t xml:space="preserve">Prepared By:</w:t>
      </w:r>
      <w:r>
        <w:t xml:space="preserve"> </w:t>
      </w:r>
      <w:r>
        <w:t xml:space="preserve">National Sales &amp; Talent Strategy Department</w:t>
      </w:r>
    </w:p>
    <w:bookmarkStart w:id="20" w:name="executive-summary"/>
    <w:p>
      <w:pPr>
        <w:pStyle w:val="Heading2"/>
      </w:pPr>
      <w:r>
        <w:t xml:space="preserve">Executive Summary</w:t>
      </w:r>
    </w:p>
    <w:p>
      <w:pPr>
        <w:pStyle w:val="FirstParagraph"/>
      </w:pPr>
      <w:r>
        <w:t xml:space="preserve">This comprehensive Sales Report evaluates the performance of Medical Researcher recruitment and retention initiatives across United States Chicago, the nation's third-largest healthcare market. The analysis reveals significant growth in demand for specialized Medical Researchers within Chicago's biopharmaceutical ecosystem, with a 37% year-over-year increase in qualified position fill rates. This report details key metrics, market dynamics, and strategic recommendations to sustain momentum in this critical talent segment.</w:t>
      </w:r>
    </w:p>
    <w:bookmarkEnd w:id="20"/>
    <w:bookmarkStart w:id="21" w:name="X2d31118bbc6015835b5c4a2eefb3c5c163ff463"/>
    <w:p>
      <w:pPr>
        <w:pStyle w:val="Heading2"/>
      </w:pPr>
      <w:r>
        <w:t xml:space="preserve">Market Context: United States Chicago Healthcare Landscape</w:t>
      </w:r>
    </w:p>
    <w:p>
      <w:pPr>
        <w:pStyle w:val="FirstParagraph"/>
      </w:pPr>
      <w:r>
        <w:t xml:space="preserve">Chicago serves as the nerve center for medical innovation across the United States Midwest region, hosting 18 major research hospitals, 47 biotech firms, and the National Institutes of Health (NIH) regional hub. The city's unique concentration of academic institutions—including University of Chicago Medicine, Northwestern Feinberg School of Medicine, and Rush University—creates an unparalleled ecosystem for Medical Researcher talent. In United States Chicago specifically, the demand for Medical Researchers has accelerated due to: (1) FDA approval surges in oncology therapeutics (up 22% in 2023), (2) increased federal funding for cardiovascular research initiatives, and (3) corporate expansion by Johnson &amp; Johnson, AbbVie, and Pfizer regional R&amp;D centers.</w:t>
      </w:r>
    </w:p>
    <w:bookmarkEnd w:id="21"/>
    <w:bookmarkStart w:id="22" w:name="Xf08733d8be60ff11f2f1d05d6661fb40041ea9d"/>
    <w:p>
      <w:pPr>
        <w:pStyle w:val="Heading2"/>
      </w:pPr>
      <w:r>
        <w:t xml:space="preserve">Performance Metrics: Medical Researcher Sales Dashboard</w:t>
      </w:r>
    </w:p>
    <w:p>
      <w:pPr>
        <w:pStyle w:val="FirstParagraph"/>
      </w:pPr>
      <w:r>
        <w:t xml:space="preserve">KPI</w:t>
      </w:r>
    </w:p>
    <w:p>
      <w:pPr>
        <w:pStyle w:val="BodyText"/>
      </w:pPr>
      <w:r>
        <w:t xml:space="preserve">Q3 2023</w:t>
      </w:r>
    </w:p>
    <w:p>
      <w:pPr>
        <w:pStyle w:val="BodyText"/>
      </w:pPr>
      <w:r>
        <w:t xml:space="preserve">Q3 2022 (YoY)</w:t>
      </w:r>
    </w:p>
    <w:p>
      <w:pPr>
        <w:pStyle w:val="BodyText"/>
      </w:pPr>
      <w:r>
        <w:t xml:space="preserve">Achievement Rate</w:t>
      </w:r>
    </w:p>
    <w:p>
      <w:pPr>
        <w:pStyle w:val="BodyText"/>
      </w:pPr>
      <w:r>
        <w:t xml:space="preserve">Medical Researcher Position Fill Rate</w:t>
      </w:r>
    </w:p>
    <w:p>
      <w:pPr>
        <w:pStyle w:val="BodyText"/>
      </w:pPr>
      <w:r>
        <w:t xml:space="preserve">89%</w:t>
      </w:r>
    </w:p>
    <w:p>
      <w:pPr>
        <w:pStyle w:val="BodyText"/>
      </w:pPr>
      <w:r>
        <w:t xml:space="preserve">71%</w:t>
      </w:r>
    </w:p>
    <w:p>
      <w:pPr>
        <w:pStyle w:val="BodyText"/>
      </w:pPr>
      <w:r>
        <w:t xml:space="preserve">+28.2% increase</w:t>
      </w:r>
    </w:p>
    <w:p>
      <w:pPr>
        <w:pStyle w:val="BodyText"/>
      </w:pPr>
      <w:r>
        <w:t xml:space="preserve">Average Time-to-Fill (Days)</w:t>
      </w:r>
    </w:p>
    <w:p>
      <w:pPr>
        <w:pStyle w:val="BodyText"/>
      </w:pPr>
      <w:r>
        <w:t xml:space="preserve">42 days</w:t>
      </w:r>
    </w:p>
    <w:p>
      <w:pPr>
        <w:pStyle w:val="BodyText"/>
      </w:pPr>
      <w:r>
        <w:t xml:space="preserve">59 days</w:t>
      </w:r>
    </w:p>
    <w:p>
      <w:pPr>
        <w:pStyle w:val="BodyText"/>
      </w:pPr>
      <w:r>
        <w:t xml:space="preserve">*Note: Industry benchmark is 60+ days for specialized roles in United States Chicago markets</w:t>
      </w:r>
    </w:p>
    <w:p>
      <w:pPr>
        <w:pStyle w:val="BodyText"/>
      </w:pPr>
      <w:r>
        <w:t xml:space="preserve">These metrics reflect exceptional performance by our talent acquisition team. The 89% fill rate exceeds the national average for Medical Researcher positions by 24 percentage points, driven by targeted outreach to Midwest academic networks and strategic partnerships with Chicago-based research consortia. Notably, 63% of placed professionals were sourced through our Chicago Innovation Pipeline Program—a dedicated initiative connecting university talent with local biopharma firms.</w:t>
      </w:r>
    </w:p>
    <w:bookmarkEnd w:id="22"/>
    <w:bookmarkStart w:id="23" w:name="regional-competitive-analysis"/>
    <w:p>
      <w:pPr>
        <w:pStyle w:val="Heading2"/>
      </w:pPr>
      <w:r>
        <w:t xml:space="preserve">Regional Competitive Analysis</w:t>
      </w:r>
    </w:p>
    <w:p>
      <w:pPr>
        <w:pStyle w:val="FirstParagraph"/>
      </w:pPr>
      <w:r>
        <w:t xml:space="preserve">United States Chicago's Medical Researcher market operates in a unique competitive landscape. While Boston and San Francisco command premium salary offers, Chicago maintains a distinct advantage through: (1) 15% lower operational costs for research facilities, (2) exceptional quality-of-life metrics that reduce turnover by 31% versus national averages, and (3) strong public-private partnerships like the Illinois Innovation Exchange. Our Sales Report identifies key competitors' weaknesses:</w:t>
      </w:r>
    </w:p>
    <w:p>
      <w:pPr>
        <w:numPr>
          <w:ilvl w:val="0"/>
          <w:numId w:val="1001"/>
        </w:numPr>
        <w:pStyle w:val="Compact"/>
      </w:pPr>
      <w:r>
        <w:rPr>
          <w:bCs/>
          <w:b/>
        </w:rPr>
        <w:t xml:space="preserve">Competitor A</w:t>
      </w:r>
      <w:r>
        <w:t xml:space="preserve">: High compensation but poor onboarding; 42% Medical Researcher attrition within 18 months</w:t>
      </w:r>
    </w:p>
    <w:p>
      <w:pPr>
        <w:numPr>
          <w:ilvl w:val="0"/>
          <w:numId w:val="1001"/>
        </w:numPr>
        <w:pStyle w:val="Compact"/>
      </w:pPr>
      <w:r>
        <w:rPr>
          <w:bCs/>
          <w:b/>
        </w:rPr>
        <w:t xml:space="preserve">Competitor B</w:t>
      </w:r>
      <w:r>
        <w:t xml:space="preserve">: Strong academic ties but limited post-hire development; only 35% retention beyond Year 2</w:t>
      </w:r>
    </w:p>
    <w:p>
      <w:pPr>
        <w:pStyle w:val="FirstParagraph"/>
      </w:pPr>
      <w:r>
        <w:t xml:space="preserve">Our Chicago sales strategy capitalizes on these gaps through our "Researcher Growth Accelerator" program, which includes: (1) custom career pathing aligned with NIH grant cycles, (2) exclusive access to the Chicago Biomedical Consortium's $150M research fund, and (3) subsidized relocation packages for Midwest-located talent.</w:t>
      </w:r>
    </w:p>
    <w:bookmarkEnd w:id="23"/>
    <w:bookmarkStart w:id="24" w:name="X673604e63e2cfad623614a07d0bf9599da99258"/>
    <w:p>
      <w:pPr>
        <w:pStyle w:val="Heading2"/>
      </w:pPr>
      <w:r>
        <w:t xml:space="preserve">Key Challenges in United States Chicago Market</w:t>
      </w:r>
    </w:p>
    <w:p>
      <w:pPr>
        <w:pStyle w:val="FirstParagraph"/>
      </w:pPr>
      <w:r>
        <w:t xml:space="preserve">Despite strong performance, three critical challenges require immediate attention:</w:t>
      </w:r>
    </w:p>
    <w:p>
      <w:pPr>
        <w:numPr>
          <w:ilvl w:val="0"/>
          <w:numId w:val="1002"/>
        </w:numPr>
        <w:pStyle w:val="Compact"/>
      </w:pPr>
      <w:r>
        <w:rPr>
          <w:bCs/>
          <w:b/>
        </w:rPr>
        <w:t xml:space="preserve">Talent Sourcing Constraints</w:t>
      </w:r>
      <w:r>
        <w:t xml:space="preserve">: Only 18% of qualified Medical Researchers currently reside within a 50-mile radius of Chicago. We are addressing this through partnerships with DePaul University's Research Fellowship and the Chicago Innovation Exchange Talent Bank.</w:t>
      </w:r>
    </w:p>
    <w:p>
      <w:pPr>
        <w:numPr>
          <w:ilvl w:val="0"/>
          <w:numId w:val="1002"/>
        </w:numPr>
        <w:pStyle w:val="Compact"/>
      </w:pPr>
      <w:r>
        <w:rPr>
          <w:bCs/>
          <w:b/>
        </w:rPr>
        <w:t xml:space="preserve">Regulatory Complexity</w:t>
      </w:r>
      <w:r>
        <w:t xml:space="preserve">: FDA clinical trial regulations require specialized Medical Researchers with regulatory expertise. Our sales team reports 29% of candidates lack recent FDA submission experience, necessitating enhanced training modules in partnership with the Chicago Regulatory Affairs Council.</w:t>
      </w:r>
    </w:p>
    <w:p>
      <w:pPr>
        <w:numPr>
          <w:ilvl w:val="0"/>
          <w:numId w:val="1002"/>
        </w:numPr>
        <w:pStyle w:val="Compact"/>
      </w:pPr>
      <w:r>
        <w:rPr>
          <w:bCs/>
          <w:b/>
        </w:rPr>
        <w:t xml:space="preserve">Salary Compression</w:t>
      </w:r>
      <w:r>
        <w:t xml:space="preserve">: Competitors are offering 12-15% higher base salaries for Senior Medical Researchers. Our solution includes equity-based retention packages and performance-linked bonuses tied to grant acquisition metrics.</w:t>
      </w:r>
    </w:p>
    <w:bookmarkEnd w:id="24"/>
    <w:bookmarkStart w:id="25" w:name="strategic-recommendations"/>
    <w:p>
      <w:pPr>
        <w:pStyle w:val="Heading2"/>
      </w:pPr>
      <w:r>
        <w:t xml:space="preserve">Strategic Recommendations</w:t>
      </w:r>
    </w:p>
    <w:p>
      <w:pPr>
        <w:pStyle w:val="FirstParagraph"/>
      </w:pPr>
      <w:r>
        <w:t xml:space="preserve">To sustain our market leadership in United States Chicago, we propose the following initiatives:</w:t>
      </w:r>
    </w:p>
    <w:p>
      <w:pPr>
        <w:numPr>
          <w:ilvl w:val="0"/>
          <w:numId w:val="1003"/>
        </w:numPr>
        <w:pStyle w:val="Compact"/>
      </w:pPr>
      <w:r>
        <w:rPr>
          <w:bCs/>
          <w:b/>
        </w:rPr>
        <w:t xml:space="preserve">Launch Chicago Medical Researcher Academy</w:t>
      </w:r>
      <w:r>
        <w:t xml:space="preserve">: A 12-month upskilling program funded by Pfizer and University of Illinois partnerships to bridge regulatory knowledge gaps. Projected ROI: 300% through reduced training costs and accelerated project timelines.</w:t>
      </w:r>
    </w:p>
    <w:p>
      <w:pPr>
        <w:numPr>
          <w:ilvl w:val="0"/>
          <w:numId w:val="1003"/>
        </w:numPr>
        <w:pStyle w:val="Compact"/>
      </w:pPr>
      <w:r>
        <w:rPr>
          <w:bCs/>
          <w:b/>
        </w:rPr>
        <w:t xml:space="preserve">Expand "Talent-to-Trailblazer" Pipeline</w:t>
      </w:r>
      <w:r>
        <w:t xml:space="preserve">: Recruit 50+ Medical Researchers annually from Chicago's HBCUs (Historically Black Colleges and Universities) through dedicated scholarship programs. This addresses the 27% underrepresentation of minority Medical Researchers in our current talent pool.</w:t>
      </w:r>
    </w:p>
    <w:p>
      <w:pPr>
        <w:numPr>
          <w:ilvl w:val="0"/>
          <w:numId w:val="1003"/>
        </w:numPr>
        <w:pStyle w:val="Compact"/>
      </w:pPr>
      <w:r>
        <w:rPr>
          <w:bCs/>
          <w:b/>
        </w:rPr>
        <w:t xml:space="preserve">Implement Real-Time Market Intelligence System</w:t>
      </w:r>
      <w:r>
        <w:t xml:space="preserve">: A Chicago-specific dashboard tracking competitor compensation trends, regulatory changes, and university output using AI-driven analytics. This will position us to anticipate market shifts before competitors react.</w:t>
      </w:r>
    </w:p>
    <w:bookmarkEnd w:id="25"/>
    <w:bookmarkStart w:id="26" w:name="financial-impact-assessment"/>
    <w:p>
      <w:pPr>
        <w:pStyle w:val="Heading2"/>
      </w:pPr>
      <w:r>
        <w:t xml:space="preserve">Financial Impact Assessment</w:t>
      </w:r>
    </w:p>
    <w:p>
      <w:pPr>
        <w:pStyle w:val="FirstParagraph"/>
      </w:pPr>
      <w:r>
        <w:t xml:space="preserve">The current Medical Researcher sales pipeline in United States Chicago generates $18.7M in annual revenue through grant management and clinical trial execution. Our retention strategy—which has reduced turnover by 31%—saves approximately $5.4M annually in recruitment costs alone. Strategic initiatives outlined above are projected to increase revenue by 22% ($4.1M) within two years while simultaneously enhancing our employer brand as the preferred destination for Medical Researchers across Midwest healthcare.</w:t>
      </w:r>
    </w:p>
    <w:bookmarkEnd w:id="26"/>
    <w:bookmarkStart w:id="27" w:name="conclusion"/>
    <w:p>
      <w:pPr>
        <w:pStyle w:val="Heading2"/>
      </w:pPr>
      <w:r>
        <w:t xml:space="preserve">Conclusion</w:t>
      </w:r>
    </w:p>
    <w:p>
      <w:pPr>
        <w:pStyle w:val="FirstParagraph"/>
      </w:pPr>
      <w:r>
        <w:t xml:space="preserve">This Sales Report confirms that Chicago remains a high-growth frontier for Medical Researcher talent acquisition within the United States healthcare sector. Our 89% fill rate and industry-leading time-to-fill demonstrate exceptional execution of our talent strategy. However, maintaining this competitive edge requires continuous adaptation to Chicago's evolving biopharmaceutical landscape. By investing in the Chicago Medical Researcher Academy, expanding diversity pipelines, and implementing predictive market intelligence, we position ourselves not just to meet but to redefine standards for Medical Researcher recruitment in United States Chicago.</w:t>
      </w:r>
    </w:p>
    <w:p>
      <w:pPr>
        <w:pStyle w:val="BodyText"/>
      </w:pPr>
      <w:r>
        <w:t xml:space="preserve">As the Midwest's medical innovation hub continues its trajectory toward becoming a national leader in clinical research productivity, our strategic focus on Medical Researcher excellence will directly translate to accelerated drug development timelines and increased market share for our client organizations. The data is unequivocal: In United States Chicago, investing in the right Medical Researcher talent is no longer optional—it's the cornerstone of competitive advantage.</w:t>
      </w:r>
    </w:p>
    <w:p>
      <w:pPr>
        <w:pStyle w:val="BodyText"/>
      </w:pPr>
      <w:r>
        <w:rPr>
          <w:bCs/>
          <w:b/>
        </w:rPr>
        <w:t xml:space="preserve">Appendix A:</w:t>
      </w:r>
      <w:r>
        <w:t xml:space="preserve"> </w:t>
      </w:r>
      <w:r>
        <w:t xml:space="preserve">Full Performance Metrics by Hospital Network (Chicago Region)</w:t>
      </w:r>
      <w:r>
        <w:br/>
      </w:r>
      <w:r>
        <w:rPr>
          <w:bCs/>
          <w:b/>
        </w:rPr>
        <w:t xml:space="preserve">Appendix B:</w:t>
      </w:r>
      <w:r>
        <w:t xml:space="preserve"> </w:t>
      </w:r>
      <w:r>
        <w:t xml:space="preserve">Competitor Salary Benchmarking Report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Performance in United States Chicago</dc:title>
  <dc:creator/>
  <dc:language>en</dc:language>
  <cp:keywords/>
  <dcterms:created xsi:type="dcterms:W3CDTF">2026-07-24T21:00:39Z</dcterms:created>
  <dcterms:modified xsi:type="dcterms:W3CDTF">2026-07-24T21:00:39Z</dcterms:modified>
</cp:coreProperties>
</file>

<file path=docProps/custom.xml><?xml version="1.0" encoding="utf-8"?>
<Properties xmlns="http://schemas.openxmlformats.org/officeDocument/2006/custom-properties" xmlns:vt="http://schemas.openxmlformats.org/officeDocument/2006/docPropsVTypes"/>
</file>