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24504156d3c5e678093103894bd7a6e6aae4971"/>
    <w:p>
      <w:pPr>
        <w:pStyle w:val="Heading1"/>
      </w:pPr>
      <w:r>
        <w:t xml:space="preserve">Comprehensive Sales Report: Medical Researcher Impact and Market Analysis for United States Houston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BioInnovate Solutions</w:t>
      </w:r>
      <w:r>
        <w:br/>
      </w:r>
      <w:r>
        <w:rPr>
          <w:bCs/>
          <w:b/>
        </w:rPr>
        <w:t xml:space="preserve">From:</w:t>
      </w:r>
      <w:r>
        <w:t xml:space="preserve"> </w:t>
      </w:r>
      <w:r>
        <w:t xml:space="preserve">Sales &amp; Research Strategy Department</w:t>
      </w:r>
      <w:r>
        <w:br/>
      </w:r>
      <w:r>
        <w:rPr>
          <w:bCs/>
          <w:b/>
        </w:rPr>
        <w:t xml:space="preserve">Subject:</w:t>
      </w:r>
      <w:r>
        <w:t xml:space="preserve"> </w:t>
      </w:r>
      <w:r>
        <w:t xml:space="preserve">Q3 2023 Performance Analysis and Strategic Outlook for Medical Researcher Initiatives in United States Houston</w:t>
      </w:r>
    </w:p>
    <w:bookmarkStart w:id="20" w:name="i.-executive-summary"/>
    <w:p>
      <w:pPr>
        <w:pStyle w:val="Heading2"/>
      </w:pPr>
      <w:r>
        <w:t xml:space="preserve">I. Executive Summary</w:t>
      </w:r>
    </w:p>
    <w:p>
      <w:pPr>
        <w:pStyle w:val="FirstParagraph"/>
      </w:pPr>
      <w:r>
        <w:t xml:space="preserve">This Sales Report details the critical intersection of medical research innovation and commercial performance within United States Houston. As the second-largest biotech hub in the United States, Houston presents unparalleled opportunities for our organization to leverage a specialized Medical Researcher workforce to drive sustainable revenue growth. The Q3 2023 data demonstrates a 17% year-over-year increase in contract renewals directly attributable to strategic Medical Researcher deployment across key healthcare institutions. This report confirms that investing in elite Medical Researcher talent remains the cornerstone of our Houston market dominance, with specific emphasis on how these professionals catalyze sales velocity and client retention within United States Houston's unique healthcare ecosystem.</w:t>
      </w:r>
    </w:p>
    <w:bookmarkEnd w:id="20"/>
    <w:bookmarkStart w:id="21" w:name="Xba5bc151d95e266c639395d3cd53708f00572bb"/>
    <w:p>
      <w:pPr>
        <w:pStyle w:val="Heading2"/>
      </w:pPr>
      <w:r>
        <w:t xml:space="preserve">II. Market Context: United States Houston as a Medical Innovation Epicenter</w:t>
      </w:r>
    </w:p>
    <w:p>
      <w:pPr>
        <w:pStyle w:val="FirstParagraph"/>
      </w:pPr>
      <w:r>
        <w:t xml:space="preserve">United States Houston serves as the strategic nerve center for medical research in the southern United States, home to 85% of the nation's top-tier clinical research organizations and facilities like MD Anderson Cancer Center, Baylor College of Medicine, and Texas Medical Center (TMC). The TMC alone generates $27 billion annually in economic impact. In this environment, a specialized</w:t>
      </w:r>
      <w:r>
        <w:t xml:space="preserve"> </w:t>
      </w:r>
      <w:r>
        <w:rPr>
          <w:iCs/>
          <w:i/>
        </w:rPr>
        <w:t xml:space="preserve">Medical Researcher</w:t>
      </w:r>
      <w:r>
        <w:t xml:space="preserve"> </w:t>
      </w:r>
      <w:r>
        <w:t xml:space="preserve">functions as our primary commercial asset—translating complex scientific data into compelling value propositions that resonate with Houston's research-intensive healthcare institutions. Our Sales Report quantifies how Medical Researcher engagement correlates directly with revenue outcomes: 83% of new institutional contracts signed in Q3 originated from targeted Medical Researcher outreach to Houston-based facilities.</w:t>
      </w:r>
    </w:p>
    <w:bookmarkEnd w:id="21"/>
    <w:bookmarkStart w:id="22" w:name="Xe22e529bd0cb436c9d554644828258d69a426d2"/>
    <w:p>
      <w:pPr>
        <w:pStyle w:val="Heading2"/>
      </w:pPr>
      <w:r>
        <w:t xml:space="preserve">III. Medical Researcher Performance Metrics Driving Sales</w:t>
      </w:r>
    </w:p>
    <w:p>
      <w:pPr>
        <w:pStyle w:val="FirstParagraph"/>
      </w:pPr>
      <w:r>
        <w:t xml:space="preserve">The role of the</w:t>
      </w:r>
      <w:r>
        <w:t xml:space="preserve"> </w:t>
      </w:r>
      <w:r>
        <w:rPr>
          <w:bCs/>
          <w:b/>
        </w:rPr>
        <w:t xml:space="preserve">Medical Researcher</w:t>
      </w:r>
      <w:r>
        <w:t xml:space="preserve"> </w:t>
      </w:r>
      <w:r>
        <w:t xml:space="preserve">has evolved beyond traditional data analysis into a high-impact sales catalyst. Our Houston-based Medical Researchers executed 147 client engagements in Q3, resulting in:</w:t>
      </w:r>
    </w:p>
    <w:p>
      <w:pPr>
        <w:numPr>
          <w:ilvl w:val="0"/>
          <w:numId w:val="1001"/>
        </w:numPr>
        <w:pStyle w:val="Compact"/>
      </w:pPr>
      <w:r>
        <w:rPr>
          <w:bCs/>
          <w:b/>
        </w:rPr>
        <w:t xml:space="preserve">28% increase</w:t>
      </w:r>
      <w:r>
        <w:t xml:space="preserve"> </w:t>
      </w:r>
      <w:r>
        <w:t xml:space="preserve">in cross-selling success rates for our diagnostic platforms (vs. regional average of 15%)</w:t>
      </w:r>
    </w:p>
    <w:p>
      <w:pPr>
        <w:numPr>
          <w:ilvl w:val="0"/>
          <w:numId w:val="1001"/>
        </w:numPr>
        <w:pStyle w:val="Compact"/>
      </w:pPr>
      <w:r>
        <w:rPr>
          <w:bCs/>
          <w:b/>
        </w:rPr>
        <w:t xml:space="preserve">$4.2M incremental revenue</w:t>
      </w:r>
      <w:r>
        <w:t xml:space="preserve"> </w:t>
      </w:r>
      <w:r>
        <w:t xml:space="preserve">from existing accounts through evidence-based solution tailoring by Medical Researchers</w:t>
      </w:r>
    </w:p>
    <w:p>
      <w:pPr>
        <w:numPr>
          <w:ilvl w:val="0"/>
          <w:numId w:val="1001"/>
        </w:numPr>
        <w:pStyle w:val="Compact"/>
      </w:pPr>
      <w:r>
        <w:rPr>
          <w:bCs/>
          <w:b/>
        </w:rPr>
        <w:t xml:space="preserve">92% client retention rate</w:t>
      </w:r>
      <w:r>
        <w:t xml:space="preserve"> </w:t>
      </w:r>
      <w:r>
        <w:t xml:space="preserve">among institutions where Medical Researchers conducted quarterly scientific value workshops (vs. 76% industry benchmark)</w:t>
      </w:r>
    </w:p>
    <w:p>
      <w:pPr>
        <w:pStyle w:val="FirstParagraph"/>
      </w:pPr>
      <w:r>
        <w:t xml:space="preserve">This performance stems from the Houston Medical Researcher's unique ability to navigate the region's complex healthcare procurement landscape. Unlike generic sales personnel, these specialists possess dual expertise in clinical trial methodology and commercial strategy—allowing them to address institutional pain points like "reducing patient recruitment timelines" or "accelerating FDA-compliant data reporting" with precision. A recent survey of 47 Houston hospital administrators revealed that 79% prioritized vendors with embedded Medical Researchers during RFP evaluations.</w:t>
      </w:r>
    </w:p>
    <w:bookmarkEnd w:id="22"/>
    <w:bookmarkStart w:id="23" w:name="Xc511d40e6776903a0439c4b7b27d823c361aaa5"/>
    <w:p>
      <w:pPr>
        <w:pStyle w:val="Heading2"/>
      </w:pPr>
      <w:r>
        <w:t xml:space="preserve">IV. United States Houston Market Analysis: Opportunities and Barriers</w:t>
      </w:r>
    </w:p>
    <w:p>
      <w:pPr>
        <w:pStyle w:val="FirstParagraph"/>
      </w:pPr>
      <w:r>
        <w:t xml:space="preserve">While United States Houston offers exceptional growth potential, our Sales Report identifies two critical factors requiring tailored strategies:</w:t>
      </w:r>
    </w:p>
    <w:p>
      <w:pPr>
        <w:numPr>
          <w:ilvl w:val="0"/>
          <w:numId w:val="1002"/>
        </w:numPr>
        <w:pStyle w:val="Compact"/>
      </w:pPr>
      <w:r>
        <w:rPr>
          <w:bCs/>
          <w:b/>
        </w:rPr>
        <w:t xml:space="preserve">Competitive Intelligence Gap:</w:t>
      </w:r>
      <w:r>
        <w:t xml:space="preserve"> </w:t>
      </w:r>
      <w:r>
        <w:t xml:space="preserve">68% of competitors deploy generic sales teams in Houston rather than specialized Medical Researchers. This creates an opportunity for us to deepen clinical credibility through evidence-based solutions. Our Medical Researchers are uniquely positioned to counter this by presenting real-world data from TMC trials during client presentations.</w:t>
      </w:r>
    </w:p>
    <w:p>
      <w:pPr>
        <w:numPr>
          <w:ilvl w:val="0"/>
          <w:numId w:val="1002"/>
        </w:numPr>
        <w:pStyle w:val="Compact"/>
      </w:pPr>
      <w:r>
        <w:rPr>
          <w:bCs/>
          <w:b/>
        </w:rPr>
        <w:t xml:space="preserve">Regulatory Complexity:</w:t>
      </w:r>
      <w:r>
        <w:t xml:space="preserve"> </w:t>
      </w:r>
      <w:r>
        <w:t xml:space="preserve">Texas Health Services Commission (THSC) regulations require customized solution demonstrations. Medical Researchers leverage Houston's institutional knowledge to streamline compliance documentation, shortening sales cycles by 32% compared to non-specialized teams.</w:t>
      </w:r>
    </w:p>
    <w:p>
      <w:pPr>
        <w:pStyle w:val="FirstParagraph"/>
      </w:pPr>
      <w:r>
        <w:t xml:space="preserve">A key differentiator in United States Houston is our Medical Researcher’s ability to collaborate with TMC’s "Innovation Corridor" partners. For example, the recent partnership between BioInnovate and Houston Methodist Hospital—secured through a dedicated Medical Researcher-led proposal—resulted in a $1.8M contract for AI-driven oncology analytics, directly tied to the researcher's understanding of Houston's high-volume cancer patient demographics.</w:t>
      </w:r>
    </w:p>
    <w:bookmarkEnd w:id="23"/>
    <w:bookmarkStart w:id="24" w:name="X0d06259f0dcbc972f3ffa9866668445bde79b9b"/>
    <w:p>
      <w:pPr>
        <w:pStyle w:val="Heading2"/>
      </w:pPr>
      <w:r>
        <w:t xml:space="preserve">V. Strategic Recommendations for Medical Researcher Deployment</w:t>
      </w:r>
    </w:p>
    <w:p>
      <w:pPr>
        <w:pStyle w:val="FirstParagraph"/>
      </w:pPr>
      <w:r>
        <w:t xml:space="preserve">Based on Q3 data, we recommend three priority actions to amplify sales impact in United States Houston:</w:t>
      </w:r>
    </w:p>
    <w:p>
      <w:pPr>
        <w:numPr>
          <w:ilvl w:val="0"/>
          <w:numId w:val="1003"/>
        </w:numPr>
        <w:pStyle w:val="Compact"/>
      </w:pPr>
      <w:r>
        <w:rPr>
          <w:bCs/>
          <w:b/>
        </w:rPr>
        <w:t xml:space="preserve">Expand Medical Researcher Headcount by 25%</w:t>
      </w:r>
      <w:r>
        <w:t xml:space="preserve">: Targeting biotechnology firms in the TMC Innovation District where revenue potential exceeds $1.2M per facility. Each new Medical Researcher will focus on a specific therapeutic area (oncology, neurology, cardiology) to deepen clinical relevance.</w:t>
      </w:r>
    </w:p>
    <w:p>
      <w:pPr>
        <w:numPr>
          <w:ilvl w:val="0"/>
          <w:numId w:val="1003"/>
        </w:numPr>
        <w:pStyle w:val="Compact"/>
      </w:pPr>
      <w:r>
        <w:rPr>
          <w:bCs/>
          <w:b/>
        </w:rPr>
        <w:t xml:space="preserve">Implement Houston-Specific KPIs</w:t>
      </w:r>
      <w:r>
        <w:t xml:space="preserve">: Tracking "Scientific Value Proposition Conversion Rate" alongside traditional sales metrics. This KPI measures how often Medical Researchers' clinical insights directly influence purchasing decisions.</w:t>
      </w:r>
    </w:p>
    <w:p>
      <w:pPr>
        <w:numPr>
          <w:ilvl w:val="0"/>
          <w:numId w:val="1003"/>
        </w:numPr>
        <w:pStyle w:val="Compact"/>
      </w:pPr>
      <w:r>
        <w:rPr>
          <w:bCs/>
          <w:b/>
        </w:rPr>
        <w:t xml:space="preserve">Develop TMC Partnership Framework</w:t>
      </w:r>
      <w:r>
        <w:t xml:space="preserve">: Formalize cross-training with MD Anderson and Baylor for Medical Researchers to co-develop solution case studies—turning academic research into demonstrable commercial value for Houston healthcare systems.</w:t>
      </w:r>
    </w:p>
    <w:bookmarkEnd w:id="24"/>
    <w:bookmarkStart w:id="25" w:name="X9b4ee4176a0ecb073aede5ecc5801122d3ea7db"/>
    <w:p>
      <w:pPr>
        <w:pStyle w:val="Heading2"/>
      </w:pPr>
      <w:r>
        <w:t xml:space="preserve">VI. Conclusion: The Non-Negotiable Value of the Medical Researcher in United States Houston</w:t>
      </w:r>
    </w:p>
    <w:p>
      <w:pPr>
        <w:pStyle w:val="FirstParagraph"/>
      </w:pPr>
      <w:r>
        <w:t xml:space="preserve">This Sales Report unequivocally demonstrates that the Medical Researcher is not merely an internal resource but our most potent sales asset in United States Houston. In a market where 89% of procurement decisions are influenced by scientific credibility (per Texas Health Institute, 2023), specialized Medical Researchers deliver measurable ROI through revenue growth, retention, and competitive differentiation. As Houston continues to attract $1.5B in annual biotech investment, our commitment to elevating the Medical Researcher role will determine market leadership.</w:t>
      </w:r>
    </w:p>
    <w:p>
      <w:pPr>
        <w:pStyle w:val="BodyText"/>
      </w:pPr>
      <w:r>
        <w:t xml:space="preserve">Looking ahead to Q4 2023, we project a minimum 20% revenue uplift through expanded Medical Researcher deployment—proving that in the competitive landscape of United States Houston, scientific expertise and sales excellence are inseparable. The data is clear: Investing in our Medical Researchers isn't just strategic; it's the engine of growth for BioInnovate's Houston operations.</w:t>
      </w:r>
    </w:p>
    <w:bookmarkEnd w:id="25"/>
    <w:bookmarkStart w:id="26" w:name="vii.-appendices-key-data-summary"/>
    <w:p>
      <w:pPr>
        <w:pStyle w:val="Heading2"/>
      </w:pPr>
      <w:r>
        <w:t xml:space="preserve">VII. Appendices (Key Data Summary)</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Houston Market Avg.</w:t>
      </w:r>
    </w:p>
    <w:p>
      <w:pPr>
        <w:pStyle w:val="BodyText"/>
      </w:pPr>
      <w:r>
        <w:t xml:space="preserve">Medical Researcher-Driven Contract Value ($M)</w:t>
      </w:r>
    </w:p>
    <w:p>
      <w:pPr>
        <w:pStyle w:val="BodyText"/>
      </w:pPr>
      <w:r>
        <w:t xml:space="preserve">$4.2</w:t>
      </w:r>
    </w:p>
    <w:p>
      <w:pPr>
        <w:pStyle w:val="BodyText"/>
      </w:pPr>
      <w:r>
        <w:t xml:space="preserve">+17%</w:t>
      </w:r>
    </w:p>
    <w:p>
      <w:pPr>
        <w:pStyle w:val="BodyText"/>
      </w:pPr>
      <w:r>
        <w:t xml:space="preserve">$3.6</w:t>
      </w:r>
    </w:p>
    <w:p>
      <w:pPr>
        <w:pStyle w:val="BodyText"/>
      </w:pPr>
      <w:r>
        <w:t xml:space="preserve">Client Retention Rate (with Medical Researcher)</w:t>
      </w:r>
    </w:p>
    <w:p>
      <w:pPr>
        <w:pStyle w:val="BodyText"/>
      </w:pPr>
      <w:r>
        <w:t xml:space="preserve">92%</w:t>
      </w:r>
    </w:p>
    <w:p>
      <w:pPr>
        <w:pStyle w:val="BodyText"/>
      </w:pPr>
      <w:r>
        <w:t xml:space="preserve">+16%</w:t>
      </w:r>
    </w:p>
    <w:p>
      <w:pPr>
        <w:pStyle w:val="BodyText"/>
      </w:pPr>
      <w:r>
        <w:t xml:space="preserve">76%</w:t>
      </w:r>
    </w:p>
    <w:p>
      <w:pPr>
        <w:pStyle w:val="BodyText"/>
      </w:pPr>
      <w:r>
        <w:t xml:space="preserve">Sales Cycle Reduction (Days)</w:t>
      </w:r>
    </w:p>
    <w:p>
      <w:pPr>
        <w:pStyle w:val="BodyText"/>
      </w:pPr>
      <w:r>
        <w:t xml:space="preserve">32</w:t>
      </w:r>
    </w:p>
    <w:p>
      <w:pPr>
        <w:pStyle w:val="BodyText"/>
      </w:pPr>
      <w:r>
        <w:t xml:space="preserve">+45%</w:t>
      </w:r>
    </w:p>
    <w:p>
      <w:pPr>
        <w:pStyle w:val="BodyText"/>
      </w:pPr>
      <w:r>
        <w:t xml:space="preserve">22</w:t>
      </w:r>
    </w:p>
    <w:p>
      <w:pPr>
        <w:pStyle w:val="BodyText"/>
      </w:pPr>
      <w:r>
        <w:t xml:space="preserve">This Sales Report confirms that in United States Houston, a specialized Medical Researcher is the single most effective catalyst for sustainable revenue growth in medical technology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United States Houston</dc:title>
  <dc:creator/>
  <dc:language>en</dc:language>
  <cp:keywords/>
  <dcterms:created xsi:type="dcterms:W3CDTF">2026-07-24T15:23:09Z</dcterms:created>
  <dcterms:modified xsi:type="dcterms:W3CDTF">2026-07-24T15:23:09Z</dcterms:modified>
</cp:coreProperties>
</file>

<file path=docProps/custom.xml><?xml version="1.0" encoding="utf-8"?>
<Properties xmlns="http://schemas.openxmlformats.org/officeDocument/2006/custom-properties" xmlns:vt="http://schemas.openxmlformats.org/officeDocument/2006/docPropsVTypes"/>
</file>