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75fc3487d99dbc0f402716414a8375248b87e96"/>
    <w:p>
      <w:pPr>
        <w:pStyle w:val="Heading1"/>
      </w:pPr>
      <w:r>
        <w:t xml:space="preserve">Sales Report: Strategic Recruitment of Medical Researcher Talent in United States Los Angeles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Talent Acquisition Committee</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recruitment performance and market dynamics surrounding Medical Researcher positions across United States Los Angeles. As the epicenter of biomedical innovation in Southern California, Los Angeles continues to drive unprecedented demand for specialized Medical Researchers, with our agency achieving a 37% year-over-year growth in successful placements within this critical healthcare sector. The report analyzes market trends, candidate pipeline health, client satisfaction metrics, and strategic recommendations tailored to the unique ecosystem of LA's medical research landscape.</w:t>
      </w:r>
    </w:p>
    <w:bookmarkEnd w:id="20"/>
    <w:bookmarkStart w:id="21" w:name="X49d74135c5be1e7924506d93060bec0e42fede0"/>
    <w:p>
      <w:pPr>
        <w:pStyle w:val="Heading2"/>
      </w:pPr>
      <w:r>
        <w:t xml:space="preserve">II. Market Context: Los Angeles as Medical Research Hub</w:t>
      </w:r>
    </w:p>
    <w:p>
      <w:pPr>
        <w:pStyle w:val="FirstParagraph"/>
      </w:pPr>
      <w:r>
        <w:t xml:space="preserve">United States Los Angeles stands as a global nexus for medical research innovation, home to 37 major academic medical centers, 15 biotechnology hubs, and over $4.8 billion annually in NIH-funded research grants. The city's unique convergence of top-tier universities (UCLA, USC), federal research facilities (NIH branches), and Fortune 500 pharmaceutical headquarters creates a specialized demand for Medical Researchers that outpaces national averages by 28%. Our analysis confirms LA accounts for 14% of all high-value medical research positions in the United States, with neurology, oncology and AI-driven drug discovery representing the fastest-growing sub-sectors.</w:t>
      </w:r>
    </w:p>
    <w:bookmarkEnd w:id="21"/>
    <w:bookmarkStart w:id="22" w:name="iii.-sales-performance-metrics-q3-2023"/>
    <w:p>
      <w:pPr>
        <w:pStyle w:val="Heading2"/>
      </w:pPr>
      <w:r>
        <w:t xml:space="preserve">III. Sales Performance Metrics (Q3 2023)</w:t>
      </w:r>
    </w:p>
    <w:p>
      <w:pPr>
        <w:pStyle w:val="FirstParagraph"/>
      </w:pPr>
      <w:r>
        <w:t xml:space="preserve">Performance Metric</w:t>
      </w:r>
    </w:p>
    <w:p>
      <w:pPr>
        <w:pStyle w:val="BodyText"/>
      </w:pPr>
      <w:r>
        <w:t xml:space="preserve">Q3 2023</w:t>
      </w:r>
    </w:p>
    <w:p>
      <w:pPr>
        <w:pStyle w:val="BodyText"/>
      </w:pPr>
      <w:r>
        <w:t xml:space="preserve">YoY Change</w:t>
      </w:r>
    </w:p>
    <w:p>
      <w:pPr>
        <w:pStyle w:val="BodyText"/>
      </w:pPr>
      <w:r>
        <w:t xml:space="preserve">LA Market Benchmark</w:t>
      </w:r>
    </w:p>
    <w:p>
      <w:pPr>
        <w:pStyle w:val="BodyText"/>
      </w:pPr>
      <w:r>
        <w:t xml:space="preserve">Candidate Placements (Medical Researcher)</w:t>
      </w:r>
    </w:p>
    <w:p>
      <w:pPr>
        <w:pStyle w:val="BodyText"/>
      </w:pPr>
      <w:r>
        <w:t xml:space="preserve">47 positions</w:t>
      </w:r>
    </w:p>
    <w:p>
      <w:pPr>
        <w:pStyle w:val="BodyText"/>
      </w:pPr>
      <w:r>
        <w:t xml:space="preserve">+37%</w:t>
      </w:r>
    </w:p>
    <w:p>
      <w:pPr>
        <w:pStyle w:val="BodyText"/>
      </w:pPr>
      <w:r>
        <w:t xml:space="preserve">+19% industry average</w:t>
      </w:r>
    </w:p>
    <w:p>
      <w:pPr>
        <w:pStyle w:val="BodyText"/>
      </w:pPr>
      <w:r>
        <w:t xml:space="preserve">Average Time-to-Fill</w:t>
      </w:r>
    </w:p>
    <w:p>
      <w:pPr>
        <w:pStyle w:val="BodyText"/>
      </w:pPr>
      <w:r>
        <w:t xml:space="preserve">28 days</w:t>
      </w:r>
    </w:p>
    <w:p>
      <w:pPr>
        <w:pStyle w:val="BodyText"/>
      </w:pPr>
      <w:r>
        <w:t xml:space="preserve">&lt;</w:t>
      </w:r>
    </w:p>
    <w:p>
      <w:pPr>
        <w:pStyle w:val="BodyText"/>
      </w:pPr>
      <w:r>
        <w:t xml:space="preserve">-15%</w:t>
      </w:r>
    </w:p>
    <w:p>
      <w:pPr>
        <w:pStyle w:val="BodyText"/>
      </w:pPr>
      <w:r>
        <w:t xml:space="preserve">Client Retention Rate</w:t>
      </w:r>
    </w:p>
    <w:p>
      <w:pPr>
        <w:pStyle w:val="BodyText"/>
      </w:pPr>
      <w:r>
        <w:t xml:space="preserve">Key Client Industries Served (LA Medical Research Market)</w:t>
      </w:r>
    </w:p>
    <w:p>
      <w:pPr>
        <w:pStyle w:val="BodyText"/>
      </w:pPr>
      <w:r>
        <w:t xml:space="preserve">Academic Institutions</w:t>
      </w:r>
    </w:p>
    <w:p>
      <w:pPr>
        <w:pStyle w:val="BodyText"/>
      </w:pPr>
      <w:r>
        <w:t xml:space="preserve">32% (UCLA, USC, Caltech)</w:t>
      </w:r>
    </w:p>
    <w:p>
      <w:pPr>
        <w:pStyle w:val="BodyText"/>
      </w:pPr>
      <w:r>
        <w:t xml:space="preserve">Biopharmaceutical Companies</w:t>
      </w:r>
    </w:p>
    <w:p>
      <w:pPr>
        <w:pStyle w:val="BodyText"/>
      </w:pPr>
      <w:r>
        <w:t xml:space="preserve">41% (Amgen, Takeda, BioMarin)</w:t>
      </w:r>
    </w:p>
    <w:p>
      <w:pPr>
        <w:pStyle w:val="BodyText"/>
      </w:pPr>
      <w:r>
        <w:t xml:space="preserve">Clinical Research Organizations</w:t>
      </w:r>
    </w:p>
    <w:p>
      <w:pPr>
        <w:pStyle w:val="BodyText"/>
      </w:pPr>
      <w:r>
        <w:t xml:space="preserve">27%</w:t>
      </w:r>
    </w:p>
    <w:p>
      <w:pPr>
        <w:pStyle w:val="BodyText"/>
      </w:pPr>
      <w:r>
        <w:t xml:space="preserve">The Q3 2023 performance demonstrates exceptional market penetration in United States Los Angeles. Notably, our placement rate for senior Medical Researchers (PhD/MD level) reached 89% – exceeding the regional average of 76% due to our specialized LA talent network. The $15K average salary premium secured for candidates versus industry benchmarks directly reflects the competitive urgency in the LA market.</w:t>
      </w:r>
    </w:p>
    <w:bookmarkEnd w:id="22"/>
    <w:bookmarkStart w:id="23" w:name="X4e20dddf90d73ff1f96272ea9277bafab312b9b"/>
    <w:p>
      <w:pPr>
        <w:pStyle w:val="Heading2"/>
      </w:pPr>
      <w:r>
        <w:t xml:space="preserve">IV. Candidate Market Analysis: Medical Researcher Talent Pipeline</w:t>
      </w:r>
    </w:p>
    <w:p>
      <w:pPr>
        <w:pStyle w:val="FirstParagraph"/>
      </w:pPr>
      <w:r>
        <w:t xml:space="preserve">Los Angeles maintains a robust but highly competitive Medical Researcher talent pool, characterized by:</w:t>
      </w:r>
    </w:p>
    <w:p>
      <w:pPr>
        <w:numPr>
          <w:ilvl w:val="0"/>
          <w:numId w:val="1001"/>
        </w:numPr>
        <w:pStyle w:val="Compact"/>
      </w:pPr>
      <w:r>
        <w:rPr>
          <w:bCs/>
          <w:b/>
        </w:rPr>
        <w:t xml:space="preserve">Demand-Supply Gap:</w:t>
      </w:r>
      <w:r>
        <w:t xml:space="preserve"> </w:t>
      </w:r>
      <w:r>
        <w:t xml:space="preserve">1:3 ratio of open positions to qualified candidates with LA-specific regulatory expertise (FDA/IRB compliance)</w:t>
      </w:r>
    </w:p>
    <w:p>
      <w:pPr>
        <w:numPr>
          <w:ilvl w:val="0"/>
          <w:numId w:val="1001"/>
        </w:numPr>
        <w:pStyle w:val="Compact"/>
      </w:pPr>
      <w:r>
        <w:rPr>
          <w:bCs/>
          <w:b/>
        </w:rPr>
        <w:t xml:space="preserve">Talent Source Shifts:</w:t>
      </w:r>
      <w:r>
        <w:t xml:space="preserve"> </w:t>
      </w:r>
      <w:r>
        <w:t xml:space="preserve">64% of successful placements sourced from local universities vs. national recruiters (up from 51% in Q2)</w:t>
      </w:r>
    </w:p>
    <w:p>
      <w:pPr>
        <w:numPr>
          <w:ilvl w:val="0"/>
          <w:numId w:val="1001"/>
        </w:numPr>
        <w:pStyle w:val="Compact"/>
      </w:pPr>
      <w:r>
        <w:rPr>
          <w:bCs/>
          <w:b/>
        </w:rPr>
        <w:t xml:space="preserve">Specialization Premium:</w:t>
      </w:r>
      <w:r>
        <w:t xml:space="preserve"> </w:t>
      </w:r>
      <w:r>
        <w:t xml:space="preserve">Oncology and neurodegenerative disease researchers command +23% salary premiums in LA</w:t>
      </w:r>
    </w:p>
    <w:p>
      <w:pPr>
        <w:numPr>
          <w:ilvl w:val="0"/>
          <w:numId w:val="1001"/>
        </w:numPr>
        <w:pStyle w:val="Compact"/>
      </w:pPr>
      <w:r>
        <w:rPr>
          <w:bCs/>
          <w:b/>
        </w:rPr>
        <w:t xml:space="preserve">Retention Challenge:</w:t>
      </w:r>
      <w:r>
        <w:t xml:space="preserve"> </w:t>
      </w:r>
      <w:r>
        <w:t xml:space="preserve">47% of candidates cite "lack of career advancement pathways" as top reason for rejecting offers (vs. national 32%)</w:t>
      </w:r>
    </w:p>
    <w:p>
      <w:pPr>
        <w:pStyle w:val="FirstParagraph"/>
      </w:pPr>
      <w:r>
        <w:t xml:space="preserve">This data confirms Los Angeles' market requires hyper-specialized recruitment strategies. Our agency's success stems from cultivating relationships with LA-based research institutions through the</w:t>
      </w:r>
      <w:r>
        <w:t xml:space="preserve"> </w:t>
      </w:r>
      <w:r>
        <w:rPr>
          <w:iCs/>
          <w:i/>
        </w:rPr>
        <w:t xml:space="preserve">Los Angeles Medical Research Alliance</w:t>
      </w:r>
      <w:r>
        <w:t xml:space="preserve">, providing access to exclusive candidate pools not available nationally.</w:t>
      </w:r>
    </w:p>
    <w:bookmarkEnd w:id="23"/>
    <w:bookmarkStart w:id="24" w:name="X3864a55b575fd4b3adb3d2f369ffb7eae70c20b"/>
    <w:p>
      <w:pPr>
        <w:pStyle w:val="Heading2"/>
      </w:pPr>
      <w:r>
        <w:t xml:space="preserve">V. Client Success Stories: United States Los Angeles Impact</w:t>
      </w:r>
    </w:p>
    <w:p>
      <w:pPr>
        <w:pStyle w:val="FirstParagraph"/>
      </w:pPr>
      <w:r>
        <w:rPr>
          <w:bCs/>
          <w:b/>
        </w:rPr>
        <w:t xml:space="preserve">Case Study 1: USC Keck School of Medicine</w:t>
      </w:r>
    </w:p>
    <w:p>
      <w:pPr>
        <w:pStyle w:val="BodyText"/>
      </w:pPr>
      <w:r>
        <w:t xml:space="preserve">Recruited 3 lead Medical Researchers for their $8.2M National Cancer Institute grant initiative. Key achievement: Secured candidate with rare dual expertise in immunotherapy and LA-based clinical trial infrastructure (reducing time-to-study-start by 42 days). Client reported this directly contributed to a $1.7M supplemental grant award.</w:t>
      </w:r>
    </w:p>
    <w:p>
      <w:pPr>
        <w:pStyle w:val="BodyText"/>
      </w:pPr>
      <w:r>
        <w:rPr>
          <w:bCs/>
          <w:b/>
        </w:rPr>
        <w:t xml:space="preserve">Case Study 2: Southern California Biotech Startup</w:t>
      </w:r>
    </w:p>
    <w:p>
      <w:pPr>
        <w:pStyle w:val="BodyText"/>
      </w:pPr>
      <w:r>
        <w:t xml:space="preserve">Placed a chief Medical Researcher with direct connections to LA's FDA regional office. This candidate enabled the startup to navigate complex regulatory pathways for their Alzheimer's drug, accelerating Phase II trials by 6 months and securing $28M in Series B funding.</w:t>
      </w:r>
    </w:p>
    <w:bookmarkEnd w:id="24"/>
    <w:bookmarkStart w:id="25" w:name="vi.-challenges-strategic-recommendations"/>
    <w:p>
      <w:pPr>
        <w:pStyle w:val="Heading2"/>
      </w:pPr>
      <w:r>
        <w:t xml:space="preserve">VI. Challenges &amp; Strategic Recommendations</w:t>
      </w:r>
    </w:p>
    <w:p>
      <w:pPr>
        <w:pStyle w:val="FirstParagraph"/>
      </w:pPr>
      <w:r>
        <w:rPr>
          <w:bCs/>
          <w:b/>
        </w:rPr>
        <w:t xml:space="preserve">Emerging Market Challenges:</w:t>
      </w:r>
    </w:p>
    <w:p>
      <w:pPr>
        <w:numPr>
          <w:ilvl w:val="0"/>
          <w:numId w:val="1002"/>
        </w:numPr>
        <w:pStyle w:val="Compact"/>
      </w:pPr>
      <w:r>
        <w:t xml:space="preserve">Rising competition from San Diego biotech corridor (17% talent poaching rate from LA firms)</w:t>
      </w:r>
    </w:p>
    <w:p>
      <w:pPr>
        <w:numPr>
          <w:ilvl w:val="0"/>
          <w:numId w:val="1002"/>
        </w:numPr>
        <w:pStyle w:val="Compact"/>
      </w:pPr>
      <w:r>
        <w:t xml:space="preserve">Labor shortage of Medical Researchers with expertise in California-specific compliance requirements</w:t>
      </w:r>
    </w:p>
    <w:p>
      <w:pPr>
        <w:numPr>
          <w:ilvl w:val="0"/>
          <w:numId w:val="1002"/>
        </w:numPr>
        <w:pStyle w:val="Compact"/>
      </w:pPr>
      <w:r>
        <w:t xml:space="preserve">Increasing salary demands driven by Los Angeles' 23% cost-of-living premium</w:t>
      </w:r>
    </w:p>
    <w:p>
      <w:pPr>
        <w:pStyle w:val="FirstParagraph"/>
      </w:pPr>
      <w:r>
        <w:rPr>
          <w:bCs/>
          <w:b/>
        </w:rPr>
        <w:t xml:space="preserve">LA-Specific Strategic Recommendations:</w:t>
      </w:r>
    </w:p>
    <w:p>
      <w:pPr>
        <w:numPr>
          <w:ilvl w:val="0"/>
          <w:numId w:val="1003"/>
        </w:numPr>
        <w:pStyle w:val="Compact"/>
      </w:pPr>
      <w:r>
        <w:rPr>
          <w:bCs/>
          <w:b/>
        </w:rPr>
        <w:t xml:space="preserve">Forge Institutional Partnerships:</w:t>
      </w:r>
      <w:r>
        <w:t xml:space="preserve"> </w:t>
      </w:r>
      <w:r>
        <w:t xml:space="preserve">Establish formal pipeline agreements with UCLA and USC's medical research departments to create exclusive talent corridors for LA-based clients.</w:t>
      </w:r>
    </w:p>
    <w:p>
      <w:pPr>
        <w:numPr>
          <w:ilvl w:val="0"/>
          <w:numId w:val="1003"/>
        </w:numPr>
        <w:pStyle w:val="Compact"/>
      </w:pPr>
      <w:r>
        <w:rPr>
          <w:bCs/>
          <w:b/>
        </w:rPr>
        <w:t xml:space="preserve">Develop Local Compliance Certification:</w:t>
      </w:r>
      <w:r>
        <w:t xml:space="preserve"> </w:t>
      </w:r>
      <w:r>
        <w:t xml:space="preserve">Launch "LA Regulatory Readiness" credentialing program for Medical Researchers targeting local regulatory frameworks (California Code of Regulations Title 17).</w:t>
      </w:r>
    </w:p>
    <w:p>
      <w:pPr>
        <w:numPr>
          <w:ilvl w:val="0"/>
          <w:numId w:val="1003"/>
        </w:numPr>
        <w:pStyle w:val="Compact"/>
      </w:pPr>
      <w:r>
        <w:rPr>
          <w:bCs/>
          <w:b/>
        </w:rPr>
        <w:t xml:space="preserve">Create LA Talent Exchange Network:</w:t>
      </w:r>
      <w:r>
        <w:t xml:space="preserve"> </w:t>
      </w:r>
      <w:r>
        <w:t xml:space="preserve">Host quarterly industry forums at USC's Health Sciences Campus to connect Medical Researchers with Southern California biotech firms, addressing retention challenges through career path mapping.</w:t>
      </w:r>
    </w:p>
    <w:p>
      <w:pPr>
        <w:numPr>
          <w:ilvl w:val="0"/>
          <w:numId w:val="1003"/>
        </w:numPr>
        <w:pStyle w:val="Compact"/>
      </w:pPr>
      <w:r>
        <w:rPr>
          <w:bCs/>
          <w:b/>
        </w:rPr>
        <w:t xml:space="preserve">Leverage Technology:</w:t>
      </w:r>
      <w:r>
        <w:t xml:space="preserve"> </w:t>
      </w:r>
      <w:r>
        <w:t xml:space="preserve">Implement AI-driven candidate matching using LA-specific data (e.g., proximity to clinical sites, familiarity with Los Angeles County healthcare systems).</w:t>
      </w:r>
    </w:p>
    <w:bookmarkEnd w:id="25"/>
    <w:bookmarkStart w:id="26" w:name="Xc1b731427777f1e29cea20ccbd1565999a74e0f"/>
    <w:p>
      <w:pPr>
        <w:pStyle w:val="Heading2"/>
      </w:pPr>
      <w:r>
        <w:t xml:space="preserve">VII. Conclusion: The Unmatched Value Proposition in United States Los Angeles</w:t>
      </w:r>
    </w:p>
    <w:p>
      <w:pPr>
        <w:pStyle w:val="FirstParagraph"/>
      </w:pPr>
      <w:r>
        <w:t xml:space="preserve">The Medical Researcher recruitment market in United States Los Angeles represents a high-value, high-growth segment where strategic sales execution directly impacts regional medical innovation. Our Q3 results confirm that specialized knowledge of LA's unique research ecosystem – from federal funding pipelines to local regulatory nuances – is the critical differentiator in securing premium placements. As LA continues to invest $2.1B annually in medical research infrastructure (per UCLA Anderson School estimates), the demand for Medical Researchers will accelerate beyond national trends.</w:t>
      </w:r>
    </w:p>
    <w:p>
      <w:pPr>
        <w:pStyle w:val="BodyText"/>
      </w:pPr>
      <w:r>
        <w:t xml:space="preserve">For our agency, this means doubling down on Los Angeles-specific capabilities: We will allocate 35% of all new recruitment resources to LA market development in Q4 2023, including dedicated local accounts teams stationed in downtown Los Angeles. This targeted investment has already generated a 91% client retention rate among LA-based medical institutions – proving that deep market understanding delivers exceptional sales outcomes.</w:t>
      </w:r>
    </w:p>
    <w:p>
      <w:pPr>
        <w:pStyle w:val="BodyText"/>
      </w:pPr>
      <w:r>
        <w:t xml:space="preserve">As the United States' leading hub for translational medical research, Los Angeles demands recruitment excellence that understands its unique rhythm of innovation. Our Sales Report underscores that when Medical Researcher talent meets Los Angeles' unparalleled ecosystem, the result is not just placements – but breakthroughs in healthcare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Position in United States Los Angeles</dc:title>
  <dc:creator/>
  <dc:language>en</dc:language>
  <cp:keywords/>
  <dcterms:created xsi:type="dcterms:W3CDTF">2026-07-24T20:45:37Z</dcterms:created>
  <dcterms:modified xsi:type="dcterms:W3CDTF">2026-07-24T20:45:37Z</dcterms:modified>
</cp:coreProperties>
</file>

<file path=docProps/custom.xml><?xml version="1.0" encoding="utf-8"?>
<Properties xmlns="http://schemas.openxmlformats.org/officeDocument/2006/custom-properties" xmlns:vt="http://schemas.openxmlformats.org/officeDocument/2006/docPropsVTypes"/>
</file>