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Miami</w:t>
      </w:r>
    </w:p>
    <w:bookmarkStart w:id="29" w:name="Xc316aabc9dcd4c5179c3131e32c4bdde37217b3"/>
    <w:p>
      <w:pPr>
        <w:pStyle w:val="Heading1"/>
      </w:pPr>
      <w:r>
        <w:t xml:space="preserve">SALES REPORT: MEDICAL RESEARCHER PERFORMANCE ANALYSIS IN UNITED STATES MIAMI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Healthcare Innovation Division</w:t>
      </w:r>
    </w:p>
    <w:bookmarkStart w:id="20" w:name="executive-summary"/>
    <w:p>
      <w:pPr>
        <w:pStyle w:val="Heading2"/>
      </w:pPr>
      <w:r>
        <w:t xml:space="preserve">Executive Summary</w:t>
      </w:r>
    </w:p>
    <w:p>
      <w:pPr>
        <w:pStyle w:val="FirstParagraph"/>
      </w:pPr>
      <w:r>
        <w:t xml:space="preserve">This comprehensive Sales Report details the performance trajectory of our Medical Researcher within the United States Miami market from Q1 2023 to Q3 2023. The analysis demonstrates how strategic medical research initiatives directly accelerated product adoption, clinical trial engagement, and revenue growth across South Florida healthcare networks. In a competitive landscape where Miami serves as a pivotal hub for biotech innovation in the United States, our Medical Researcher has generated exceptional ROI through data-driven sales enablement—proving that cutting-edge research expertise is now central to commercial success.</w:t>
      </w:r>
    </w:p>
    <w:bookmarkEnd w:id="20"/>
    <w:bookmarkStart w:id="21" w:name="market-context-why-miami-matters"/>
    <w:p>
      <w:pPr>
        <w:pStyle w:val="Heading2"/>
      </w:pPr>
      <w:r>
        <w:t xml:space="preserve">Market Context: Why Miami Matters</w:t>
      </w:r>
    </w:p>
    <w:p>
      <w:pPr>
        <w:pStyle w:val="FirstParagraph"/>
      </w:pPr>
      <w:r>
        <w:t xml:space="preserve">United States Miami represents more than just a geographic market—it's a nexus for global medical innovation. As the epicenter of Latin American healthcare access and a magnet for biotech investment, Miami’s 140+ research institutions (including the University of Miami Miller School of Medicine and Jackson Memorial Hospital) demand solutions that bridge clinical science with commercial viability. Our Sales Report confirms that 78% of high-value enterprise contracts in this region now hinge on demonstrable medical research credentials—a shift directly impacting how we position our product portfolio.</w:t>
      </w:r>
    </w:p>
    <w:bookmarkEnd w:id="21"/>
    <w:bookmarkStart w:id="22" w:name="medical-researcher-the-sales-catalyst"/>
    <w:p>
      <w:pPr>
        <w:pStyle w:val="Heading2"/>
      </w:pPr>
      <w:r>
        <w:t xml:space="preserve">Medical Researcher: The Sales Catalyst</w:t>
      </w:r>
    </w:p>
    <w:p>
      <w:pPr>
        <w:pStyle w:val="FirstParagraph"/>
      </w:pPr>
      <w:r>
        <w:t xml:space="preserve">Unlike traditional sales roles, our Medical Researcher operates as a clinical translator—converting complex scientific data into compelling value propositions for healthcare decision-makers. In United States Miami, this role has redefined sales methodology through three pillars:</w:t>
      </w:r>
    </w:p>
    <w:p>
      <w:pPr>
        <w:numPr>
          <w:ilvl w:val="0"/>
          <w:numId w:val="1001"/>
        </w:numPr>
        <w:pStyle w:val="Compact"/>
      </w:pPr>
      <w:r>
        <w:rPr>
          <w:bCs/>
          <w:b/>
        </w:rPr>
        <w:t xml:space="preserve">Evidence-Based Sales Enablement:</w:t>
      </w:r>
      <w:r>
        <w:t xml:space="preserve"> </w:t>
      </w:r>
      <w:r>
        <w:t xml:space="preserve">Developing peer-reviewed white papers on our diagnostic platform’s efficacy in tropical disease research (critical for Miami’s high-dengue/malaria incidence zones).</w:t>
      </w:r>
    </w:p>
    <w:p>
      <w:pPr>
        <w:numPr>
          <w:ilvl w:val="0"/>
          <w:numId w:val="1001"/>
        </w:numPr>
        <w:pStyle w:val="Compact"/>
      </w:pPr>
      <w:r>
        <w:rPr>
          <w:bCs/>
          <w:b/>
        </w:rPr>
        <w:t xml:space="preserve">Trailblazer Clinical Partnerships:</w:t>
      </w:r>
      <w:r>
        <w:t xml:space="preserve"> </w:t>
      </w:r>
      <w:r>
        <w:t xml:space="preserve">Securing 12 hospital network contracts by co-authoring studies with Jackson Health System on AI-driven early cancer detection.</w:t>
      </w:r>
    </w:p>
    <w:bookmarkEnd w:id="22"/>
    <w:bookmarkStart w:id="23" w:name="quantitative-sales-performance-metrics"/>
    <w:p>
      <w:pPr>
        <w:pStyle w:val="Heading2"/>
      </w:pPr>
      <w:r>
        <w:t xml:space="preserve">Quantitative Sales Performance Metrics</w:t>
      </w:r>
    </w:p>
    <w:p>
      <w:pPr>
        <w:pStyle w:val="FirstParagraph"/>
      </w:pPr>
      <w:r>
        <w:t xml:space="preserve">The following data validates the Medical Researcher’s revenue impact across United States Miami (Q1-Q3 2023):</w:t>
      </w:r>
    </w:p>
    <w:p>
      <w:pPr>
        <w:pStyle w:val="BodyText"/>
      </w:pPr>
      <w:r>
        <w:t xml:space="preserve">Key Metric</w:t>
      </w:r>
    </w:p>
    <w:p>
      <w:pPr>
        <w:pStyle w:val="BodyText"/>
      </w:pPr>
      <w:r>
        <w:t xml:space="preserve">Q1 2023</w:t>
      </w:r>
    </w:p>
    <w:p>
      <w:pPr>
        <w:pStyle w:val="BodyText"/>
      </w:pPr>
      <w:r>
        <w:t xml:space="preserve">Q3 2023</w:t>
      </w:r>
    </w:p>
    <w:p>
      <w:pPr>
        <w:pStyle w:val="BodyText"/>
      </w:pPr>
      <w:r>
        <w:t xml:space="preserve">YoY Growth</w:t>
      </w:r>
    </w:p>
    <w:p>
      <w:pPr>
        <w:pStyle w:val="BodyText"/>
      </w:pPr>
      <w:r>
        <w:t xml:space="preserve">Total Revenue (Miami Region)</w:t>
      </w:r>
    </w:p>
    <w:p>
      <w:pPr>
        <w:pStyle w:val="BodyText"/>
      </w:pPr>
      <w:r>
        <w:t xml:space="preserve">$1.8M</w:t>
      </w:r>
    </w:p>
    <w:p>
      <w:pPr>
        <w:pStyle w:val="BodyText"/>
      </w:pPr>
      <w:r>
        <w:t xml:space="preserve">$6.4M</w:t>
      </w:r>
    </w:p>
    <w:p>
      <w:pPr>
        <w:pStyle w:val="BodyText"/>
      </w:pPr>
      <w:r>
        <w:t xml:space="preserve">+256%</w:t>
      </w:r>
    </w:p>
    <w:p>
      <w:pPr>
        <w:pStyle w:val="BodyText"/>
      </w:pPr>
      <w:r>
        <w:t xml:space="preserve">Enterprise Contracts Closed</w:t>
      </w:r>
    </w:p>
    <w:p>
      <w:pPr>
        <w:pStyle w:val="BodyText"/>
      </w:pPr>
      <w:r>
        <w:t xml:space="preserve">7</w:t>
      </w:r>
    </w:p>
    <w:p>
      <w:pPr>
        <w:pStyle w:val="BodyText"/>
      </w:pPr>
      <w:r>
        <w:t xml:space="preserve">19+171%</w:t>
      </w:r>
    </w:p>
    <w:p>
      <w:pPr>
        <w:pStyle w:val="BodyText"/>
      </w:pPr>
      <w:r>
        <w:t xml:space="preserve">Clinical Trial Sign-Ups (Miami)</w:t>
      </w:r>
    </w:p>
    <w:p>
      <w:pPr>
        <w:pStyle w:val="BodyText"/>
      </w:pPr>
      <w:r>
        <w:t xml:space="preserve">42</w:t>
      </w:r>
    </w:p>
    <w:p>
      <w:pPr>
        <w:pStyle w:val="BodyText"/>
      </w:pPr>
      <w:r>
        <w:t xml:space="preserve">89</w:t>
      </w:r>
      <w:r>
        <w:br/>
      </w:r>
      <w:r>
        <w:t xml:space="preserve">+112%</w:t>
      </w:r>
    </w:p>
    <w:p>
      <w:pPr>
        <w:pStyle w:val="BodyText"/>
      </w:pPr>
      <w:r>
        <w:t xml:space="preserve">74%</w:t>
      </w:r>
    </w:p>
    <w:p>
      <w:pPr>
        <w:pStyle w:val="BodyText"/>
      </w:pPr>
      <w:r>
        <w:t xml:space="preserve">93%</w:t>
      </w:r>
      <w:r>
        <w:br/>
      </w:r>
      <w:r>
        <w:t xml:space="preserve">+19 pts</w:t>
      </w:r>
    </w:p>
    <w:p>
      <w:pPr>
        <w:pStyle w:val="BodyText"/>
      </w:pPr>
      <w:r>
        <w:t xml:space="preserve">The Medical Researcher’s involvement correlates directly with a 220% increase in deal velocity versus non-research-led sales cycles—validating Miami’s market demand for scientific credibility as a sales differentiator.</w:t>
      </w:r>
    </w:p>
    <w:bookmarkEnd w:id="23"/>
    <w:bookmarkStart w:id="24" w:name="strategic-initiatives-driving-success"/>
    <w:p>
      <w:pPr>
        <w:pStyle w:val="Heading2"/>
      </w:pPr>
      <w:r>
        <w:t xml:space="preserve">Strategic Initiatives Driving Success</w:t>
      </w:r>
    </w:p>
    <w:p>
      <w:pPr>
        <w:pStyle w:val="FirstParagraph"/>
      </w:pPr>
      <w:r>
        <w:t xml:space="preserve">In United States Miami, our Medical Researcher executed region-specific initiatives that transformed sales outcomes:</w:t>
      </w:r>
    </w:p>
    <w:p>
      <w:pPr>
        <w:numPr>
          <w:ilvl w:val="0"/>
          <w:numId w:val="1002"/>
        </w:numPr>
        <w:pStyle w:val="Compact"/>
      </w:pPr>
      <w:r>
        <w:rPr>
          <w:bCs/>
          <w:b/>
        </w:rPr>
        <w:t xml:space="preserve">Leveraging Local Health Challenges:</w:t>
      </w:r>
      <w:r>
        <w:t xml:space="preserve"> </w:t>
      </w:r>
      <w:r>
        <w:t xml:space="preserve">Targeted research on Zika virus detection protocols for Miami-Dade County health departments, resulting in a $1.3M government contract.</w:t>
      </w:r>
    </w:p>
    <w:p>
      <w:pPr>
        <w:numPr>
          <w:ilvl w:val="0"/>
          <w:numId w:val="1002"/>
        </w:numPr>
        <w:pStyle w:val="Compact"/>
      </w:pPr>
      <w:r>
        <w:rPr>
          <w:bCs/>
          <w:b/>
        </w:rPr>
        <w:t xml:space="preserve">University Collaboration Engine:</w:t>
      </w:r>
      <w:r>
        <w:t xml:space="preserve"> </w:t>
      </w:r>
      <w:r>
        <w:t xml:space="preserve">Partnering with the University of Miami’s Department of Biomedical Engineering to co-develop a grant-funded study on AI diagnostics—securing 6 hospital system pilots.</w:t>
      </w:r>
    </w:p>
    <w:bookmarkEnd w:id="24"/>
    <w:bookmarkStart w:id="25" w:name="overcoming-miami-specific-challenges"/>
    <w:p>
      <w:pPr>
        <w:pStyle w:val="Heading2"/>
      </w:pPr>
      <w:r>
        <w:t xml:space="preserve">Overcoming Miami-Specific Challenges</w:t>
      </w:r>
    </w:p>
    <w:p>
      <w:pPr>
        <w:pStyle w:val="FirstParagraph"/>
      </w:pPr>
      <w:r>
        <w:t xml:space="preserve">The United States Miami market presents unique hurdles: language barriers (35% Spanish-speaking patients), regulatory complexity (Florida-specific health privacy laws), and seasonal healthcare demand spikes (hurricane preparedness cycles). Our Medical Researcher addressed these through:</w:t>
      </w:r>
    </w:p>
    <w:p>
      <w:pPr>
        <w:numPr>
          <w:ilvl w:val="0"/>
          <w:numId w:val="1003"/>
        </w:numPr>
        <w:pStyle w:val="Compact"/>
      </w:pPr>
      <w:r>
        <w:t xml:space="preserve">Developing bilingual clinical trial materials reducing patient dropout rates by 28%.</w:t>
      </w:r>
    </w:p>
    <w:p>
      <w:pPr>
        <w:numPr>
          <w:ilvl w:val="0"/>
          <w:numId w:val="1003"/>
        </w:numPr>
        <w:pStyle w:val="Compact"/>
      </w:pPr>
      <w:r>
        <w:t xml:space="preserve">Creating a Florida regulatory compliance toolkit adopted by all sales teams—cutting onboarding time by 40%.</w:t>
      </w:r>
    </w:p>
    <w:p>
      <w:pPr>
        <w:numPr>
          <w:ilvl w:val="0"/>
          <w:numId w:val="1003"/>
        </w:numPr>
        <w:pStyle w:val="Compact"/>
      </w:pPr>
      <w:r>
        <w:t xml:space="preserve">Predictive research on seasonal disease patterns to align product demonstrations with peak need periods (e.g., pre-hurricane flu season).</w:t>
      </w:r>
    </w:p>
    <w:bookmarkEnd w:id="25"/>
    <w:bookmarkStart w:id="26" w:name="competitive-landscape-analysis"/>
    <w:p>
      <w:pPr>
        <w:pStyle w:val="Heading2"/>
      </w:pPr>
      <w:r>
        <w:t xml:space="preserve">Competitive Landscape Analysis</w:t>
      </w:r>
    </w:p>
    <w:p>
      <w:pPr>
        <w:pStyle w:val="FirstParagraph"/>
      </w:pPr>
      <w:r>
        <w:t xml:space="preserve">In Miami’s crowded medtech market, 73% of competitors rely solely on sales teams without research integration. Our Medical Researcher’s presence has given us a decisive edge: 58% of healthcare executives cited "scientific validation" as their top purchase criterion when comparing vendors in United States Miami. Competitor analysis shows that firms without embedded researchers lost market share by 19% in Q3 versus our 24% growth.</w:t>
      </w:r>
    </w:p>
    <w:bookmarkEnd w:id="26"/>
    <w:bookmarkStart w:id="27" w:name="future-growth-roadmap"/>
    <w:p>
      <w:pPr>
        <w:pStyle w:val="Heading2"/>
      </w:pPr>
      <w:r>
        <w:t xml:space="preserve">Future Growth Roadmap</w:t>
      </w:r>
    </w:p>
    <w:p>
      <w:pPr>
        <w:pStyle w:val="FirstParagraph"/>
      </w:pPr>
      <w:r>
        <w:t xml:space="preserve">To sustain momentum, the following initiatives will leverage the Medical Researcher role in United States Miami:</w:t>
      </w:r>
    </w:p>
    <w:p>
      <w:pPr>
        <w:numPr>
          <w:ilvl w:val="0"/>
          <w:numId w:val="1004"/>
        </w:numPr>
        <w:pStyle w:val="Compact"/>
      </w:pPr>
      <w:r>
        <w:rPr>
          <w:bCs/>
          <w:b/>
        </w:rPr>
        <w:t xml:space="preserve">Scale Research-Driven Sales:</w:t>
      </w:r>
      <w:r>
        <w:t xml:space="preserve"> </w:t>
      </w:r>
      <w:r>
        <w:t xml:space="preserve">Expand the Medical Researcher team by 3 FTEs to cover Miami’s emerging bioscience corridors (e.g., Kendall Innovation District).</w:t>
      </w:r>
    </w:p>
    <w:p>
      <w:pPr>
        <w:numPr>
          <w:ilvl w:val="0"/>
          <w:numId w:val="1004"/>
        </w:numPr>
        <w:pStyle w:val="Compact"/>
      </w:pPr>
      <w:r>
        <w:rPr>
          <w:bCs/>
          <w:b/>
        </w:rPr>
        <w:t xml:space="preserve">Miami-Powered Product Development:</w:t>
      </w:r>
      <w:r>
        <w:t xml:space="preserve"> </w:t>
      </w:r>
      <w:r>
        <w:t xml:space="preserve">Establish a clinical advisory board with Jackson Health System to co-design features based on real-world research gaps—projected $2.8M incremental revenue by 2024.</w:t>
      </w:r>
    </w:p>
    <w:p>
      <w:pPr>
        <w:numPr>
          <w:ilvl w:val="0"/>
          <w:numId w:val="1004"/>
        </w:numPr>
        <w:pStyle w:val="Compact"/>
      </w:pPr>
      <w:r>
        <w:rPr>
          <w:bCs/>
          <w:b/>
        </w:rPr>
        <w:t xml:space="preserve">National Replication Strategy:</w:t>
      </w:r>
      <w:r>
        <w:t xml:space="preserve"> </w:t>
      </w:r>
      <w:r>
        <w:t xml:space="preserve">Package Miami’s Medical Researcher sales framework for deployment across other US hubs (San Diego, Boston) using Miami as the blueprint.</w:t>
      </w:r>
    </w:p>
    <w:bookmarkEnd w:id="27"/>
    <w:bookmarkStart w:id="28" w:name="conclusion"/>
    <w:p>
      <w:pPr>
        <w:pStyle w:val="Heading2"/>
      </w:pPr>
      <w:r>
        <w:t xml:space="preserve">Conclusion</w:t>
      </w:r>
    </w:p>
    <w:p>
      <w:pPr>
        <w:pStyle w:val="FirstParagraph"/>
      </w:pPr>
      <w:r>
        <w:t xml:space="preserve">This Sales Report unequivocally demonstrates that in the United States Miami market, a dedicated Medical Researcher isn't merely an asset—it's the engine of revenue growth. By translating scientific rigor into commercial outcomes, our Medical Researcher has driven unprecedented market penetration where clinical credibility directly translates to sales velocity. With Miami’s medical innovation ecosystem expanding at 12% annually (per Florida Department of Health), embedding research expertise within our sales function is no longer optional: it's the cornerstone of sustainable dominance in the United States healthcare economy. We recommend doubling down on this model, with a target to increase Medical Researcher-led revenue by 300% in Miami by Q4 2024.</w:t>
      </w:r>
    </w:p>
    <w:p>
      <w:pPr>
        <w:pStyle w:val="BodyText"/>
      </w:pPr>
      <w:r>
        <w:rPr>
          <w:iCs/>
          <w:i/>
        </w:rPr>
        <w:t xml:space="preserve">Prepared By: Healthcare Innovation Analytics Group | Data Sources: Miami Health System Contracts Database, Florida Department of Business &amp; Professional Regulation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Performance Report: United States Miami</dc:title>
  <dc:creator/>
  <dc:language>en</dc:language>
  <cp:keywords/>
  <dcterms:created xsi:type="dcterms:W3CDTF">2026-07-25T01:40:12Z</dcterms:created>
  <dcterms:modified xsi:type="dcterms:W3CDTF">2026-07-25T01:40:12Z</dcterms:modified>
</cp:coreProperties>
</file>

<file path=docProps/custom.xml><?xml version="1.0" encoding="utf-8"?>
<Properties xmlns="http://schemas.openxmlformats.org/officeDocument/2006/custom-properties" xmlns:vt="http://schemas.openxmlformats.org/officeDocument/2006/docPropsVTypes"/>
</file>