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Medical</w:t>
      </w:r>
      <w:r>
        <w:t xml:space="preserve"> </w:t>
      </w:r>
      <w:r>
        <w:t xml:space="preserve">Researcher</w:t>
      </w:r>
      <w:r>
        <w:t xml:space="preserve"> </w:t>
      </w:r>
      <w:r>
        <w:t xml:space="preserve">Position</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28" w:name="X866a2d3dde7501d645c031a0900800f0f0ec528"/>
    <w:p>
      <w:pPr>
        <w:pStyle w:val="Heading1"/>
      </w:pPr>
      <w:r>
        <w:t xml:space="preserve">Sales Report: Medical Researcher Position in United States New York City</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 National Healthcare Recruitment Division</w:t>
      </w:r>
      <w:r>
        <w:br/>
      </w:r>
      <w:r>
        <w:rPr>
          <w:bCs/>
          <w:b/>
        </w:rPr>
        <w:t xml:space="preserve">Report Period:</w:t>
      </w:r>
      <w:r>
        <w:t xml:space="preserve"> </w:t>
      </w:r>
      <w:r>
        <w:t xml:space="preserve">Q3 2023 (July 1 - September 30)</w:t>
      </w:r>
    </w:p>
    <w:bookmarkStart w:id="20" w:name="executive-summary"/>
    <w:p>
      <w:pPr>
        <w:pStyle w:val="Heading2"/>
      </w:pPr>
      <w:r>
        <w:t xml:space="preserve">Executive Summary</w:t>
      </w:r>
    </w:p>
    <w:p>
      <w:pPr>
        <w:pStyle w:val="FirstParagraph"/>
      </w:pPr>
      <w:r>
        <w:t xml:space="preserve">This Sales Report details the recruitment performance for Medical Researcher positions across United States New York City, analyzing market dynamics, sales metrics, and strategic insights critical to our talent acquisition goals. As the epicenter of biomedical innovation in North America, New York City represents a $12.7 billion medical research ecosystem where securing top-tier Medical Researchers directly impacts our competitive edge. This quarter saw a 18% year-over-year increase in qualified candidates for Medical Researcher roles, with 42 successful placements completed across leading pharmaceutical firms and academic institutions within United States New York City. The Sales Report confirms that NYC remains the most strategic market for high-value research talent acquisition, driving 63% of our national revenue from this metropolitan area alone.</w:t>
      </w:r>
    </w:p>
    <w:bookmarkEnd w:id="20"/>
    <w:bookmarkStart w:id="21" w:name="Xa0acbf45e75f28ef317ae262824c0af2239b19e"/>
    <w:p>
      <w:pPr>
        <w:pStyle w:val="Heading2"/>
      </w:pPr>
      <w:r>
        <w:t xml:space="preserve">Market Analysis: Medical Researcher Demand in United States New York City</w:t>
      </w:r>
    </w:p>
    <w:p>
      <w:pPr>
        <w:pStyle w:val="FirstParagraph"/>
      </w:pPr>
      <w:r>
        <w:t xml:space="preserve">New York City's position as the nation's premier hub for medical innovation creates unprecedented demand for qualified Medical Researchers. With 175+ biotech companies, 40+ academic research centers (including NYU Langone, Columbia University Irving Medical Center, and Memorial Sloan Kettering), and 12 Fortune 500 healthcare corporations headquartered in the city, the competition for specialized talent has intensified. Our Q3 data reveals that NYC medical research roles now command 27% higher compensation packages than national averages—$148K average base salary versus $116K nationally—with this premium directly tied to the high cost of living and fierce talent wars in United States New York City. Notably, 89% of employers in our client network identified "Medical Researcher retention" as their top strategic challenge for 2023.</w:t>
      </w:r>
    </w:p>
    <w:bookmarkEnd w:id="21"/>
    <w:bookmarkStart w:id="22" w:name="sales-performance-metrics"/>
    <w:p>
      <w:pPr>
        <w:pStyle w:val="Heading2"/>
      </w:pPr>
      <w:r>
        <w:t xml:space="preserve">Sales Performance Metrics</w:t>
      </w:r>
    </w:p>
    <w:p>
      <w:pPr>
        <w:pStyle w:val="FirstParagraph"/>
      </w:pPr>
      <w:r>
        <w:t xml:space="preserve">KPI</w:t>
      </w:r>
    </w:p>
    <w:p>
      <w:pPr>
        <w:pStyle w:val="BodyText"/>
      </w:pPr>
      <w:r>
        <w:t xml:space="preserve">Q3 2023</w:t>
      </w:r>
    </w:p>
    <w:p>
      <w:pPr>
        <w:pStyle w:val="BodyText"/>
      </w:pPr>
      <w:r>
        <w:t xml:space="preserve">Q2 2023</w:t>
      </w:r>
    </w:p>
    <w:p>
      <w:pPr>
        <w:pStyle w:val="BodyText"/>
      </w:pPr>
      <w:r>
        <w:t xml:space="preserve">YoY Δ</w:t>
      </w:r>
    </w:p>
    <w:p>
      <w:pPr>
        <w:pStyle w:val="BodyText"/>
      </w:pPr>
      <w:r>
        <w:t xml:space="preserve">Qualified Candidates Generated</w:t>
      </w:r>
    </w:p>
    <w:p>
      <w:pPr>
        <w:pStyle w:val="BodyText"/>
      </w:pPr>
      <w:r>
        <w:t xml:space="preserve">147</w:t>
      </w:r>
    </w:p>
    <w:p>
      <w:pPr>
        <w:pStyle w:val="BodyText"/>
      </w:pPr>
      <w:r>
        <w:t xml:space="preserve">118</w:t>
      </w:r>
    </w:p>
    <w:p>
      <w:pPr>
        <w:pStyle w:val="BodyText"/>
      </w:pPr>
      <w:r>
        <w:t xml:space="preserve">+24.6%</w:t>
      </w:r>
    </w:p>
    <w:p>
      <w:pPr>
        <w:pStyle w:val="BodyText"/>
      </w:pPr>
      <w:r>
        <w:t xml:space="preserve">Medical Researcher Positions Filled</w:t>
      </w:r>
    </w:p>
    <w:p>
      <w:pPr>
        <w:pStyle w:val="BodyText"/>
      </w:pPr>
      <w:r>
        <w:t xml:space="preserve">42</w:t>
      </w:r>
    </w:p>
    <w:p>
      <w:pPr>
        <w:pStyle w:val="BodyText"/>
      </w:pPr>
      <w:r>
        <w:t xml:space="preserve">35 (target 30)</w:t>
      </w:r>
    </w:p>
    <w:p>
      <w:pPr>
        <w:pStyle w:val="BodyText"/>
      </w:pPr>
      <w:r>
        <w:t xml:space="preserve">Average Time-to-Fill (Days)</w:t>
      </w:r>
    </w:p>
    <w:p>
      <w:pPr>
        <w:pStyle w:val="BodyText"/>
      </w:pPr>
      <w:r>
        <w:t xml:space="preserve">38</w:t>
      </w:r>
    </w:p>
    <w:p>
      <w:pPr>
        <w:pStyle w:val="BodyText"/>
      </w:pPr>
      <w:r>
        <w:t xml:space="preserve">47</w:t>
      </w:r>
    </w:p>
    <w:p>
      <w:pPr>
        <w:pStyle w:val="BodyText"/>
      </w:pPr>
      <w:r>
        <w:t xml:space="preserve">-19.1%</w:t>
      </w:r>
    </w:p>
    <w:p>
      <w:pPr>
        <w:pStyle w:val="BodyText"/>
      </w:pPr>
      <w:r>
        <w:t xml:space="preserve">Candidate Satisfaction Score</w:t>
      </w:r>
    </w:p>
    <w:p>
      <w:pPr>
        <w:pStyle w:val="BodyText"/>
      </w:pPr>
      <w:r>
        <w:t xml:space="preserve">92%</w:t>
      </w:r>
    </w:p>
    <w:p>
      <w:pPr>
        <w:pStyle w:val="BodyText"/>
      </w:pPr>
      <w:r>
        <w:t xml:space="preserve">The Sales Report demonstrates significant improvement in our Medical Researcher placement velocity, with an average time-to-fill of 38 days—well below the industry benchmark of 52 days for specialized research roles. This efficiency was driven by targeted outreach to NYC's premier research institutions and strategic partnerships with organizations like the New York Genome Center. Crucially, our candidate satisfaction rate (92%) reflects high alignment between client expectations and qualified Medical Researchers in United States New York City, directly contributing to a 78% client retention rate for renewal contracts.</w:t>
      </w:r>
    </w:p>
    <w:bookmarkEnd w:id="22"/>
    <w:bookmarkStart w:id="23" w:name="Xd22f8586272713a15ac5bb117fd02424f586d7b"/>
    <w:p>
      <w:pPr>
        <w:pStyle w:val="Heading2"/>
      </w:pPr>
      <w:r>
        <w:t xml:space="preserve">Competitive Landscape &amp; Strategic Positioning</w:t>
      </w:r>
    </w:p>
    <w:p>
      <w:pPr>
        <w:pStyle w:val="FirstParagraph"/>
      </w:pPr>
      <w:r>
        <w:t xml:space="preserve">In the fiercely competitive talent market of New York City, our Sales Report identifies three critical differentiators that position us as the preferred recruitment partner for Medical Researcher roles:</w:t>
      </w:r>
    </w:p>
    <w:p>
      <w:pPr>
        <w:numPr>
          <w:ilvl w:val="0"/>
          <w:numId w:val="1001"/>
        </w:numPr>
        <w:pStyle w:val="Compact"/>
      </w:pPr>
      <w:r>
        <w:rPr>
          <w:bCs/>
          <w:b/>
        </w:rPr>
        <w:t xml:space="preserve">Industry-Specific Talent Databases:</w:t>
      </w:r>
      <w:r>
        <w:t xml:space="preserve"> </w:t>
      </w:r>
      <w:r>
        <w:t xml:space="preserve">Our proprietary NYC medical research database—updated weekly with 3,200+ active candidates from Memorial Sloan Kettering, Weill Cornell Medicine, and NYU Langone—delivers 5.2x more qualified matches than generic platforms.</w:t>
      </w:r>
    </w:p>
    <w:p>
      <w:pPr>
        <w:numPr>
          <w:ilvl w:val="0"/>
          <w:numId w:val="1001"/>
        </w:numPr>
        <w:pStyle w:val="Compact"/>
      </w:pPr>
      <w:r>
        <w:rPr>
          <w:bCs/>
          <w:b/>
        </w:rPr>
        <w:t xml:space="preserve">Local Market Expertise:</w:t>
      </w:r>
      <w:r>
        <w:t xml:space="preserve"> </w:t>
      </w:r>
      <w:r>
        <w:t xml:space="preserve">All recruiters undergo mandatory NYC healthcare ecosystem training to understand institutional nuances (e.g., NIH grant compliance protocols at Rockefeller University vs. industry standards at Pfizer).</w:t>
      </w:r>
    </w:p>
    <w:p>
      <w:pPr>
        <w:numPr>
          <w:ilvl w:val="0"/>
          <w:numId w:val="1001"/>
        </w:numPr>
        <w:pStyle w:val="Compact"/>
      </w:pPr>
      <w:r>
        <w:rPr>
          <w:bCs/>
          <w:b/>
        </w:rPr>
        <w:t xml:space="preserve">Post-Placement Support:</w:t>
      </w:r>
      <w:r>
        <w:t xml:space="preserve"> </w:t>
      </w:r>
      <w:r>
        <w:t xml:space="preserve">We provide dedicated relocation assistance and NYC professional networking events, reducing early-career turnover by 31% for Medical Researchers placed in United States New York City.</w:t>
      </w:r>
    </w:p>
    <w:bookmarkEnd w:id="23"/>
    <w:bookmarkStart w:id="24" w:name="X9f8cfe10c8af4acf8bf3067fffe4e597cf7ced7"/>
    <w:p>
      <w:pPr>
        <w:pStyle w:val="Heading2"/>
      </w:pPr>
      <w:r>
        <w:t xml:space="preserve">Challenges in United States New York City</w:t>
      </w:r>
    </w:p>
    <w:p>
      <w:pPr>
        <w:pStyle w:val="FirstParagraph"/>
      </w:pPr>
      <w:r>
        <w:t xml:space="preserve">Despite strong performance, this Sales Report highlights persistent challenges requiring strategic intervention:</w:t>
      </w:r>
    </w:p>
    <w:p>
      <w:pPr>
        <w:numPr>
          <w:ilvl w:val="0"/>
          <w:numId w:val="1002"/>
        </w:numPr>
        <w:pStyle w:val="Compact"/>
      </w:pPr>
      <w:r>
        <w:rPr>
          <w:bCs/>
          <w:b/>
        </w:rPr>
        <w:t xml:space="preserve">Talent Supply Constraints:</w:t>
      </w:r>
      <w:r>
        <w:t xml:space="preserve"> </w:t>
      </w:r>
      <w:r>
        <w:t xml:space="preserve">Only 14% of NYC-based Medical Researchers have active industry experience (vs. 39% nationally), necessitating aggressive upskilling partnerships with NYU and CUNY programs.</w:t>
      </w:r>
    </w:p>
    <w:p>
      <w:pPr>
        <w:numPr>
          <w:ilvl w:val="0"/>
          <w:numId w:val="1002"/>
        </w:numPr>
        <w:pStyle w:val="Compact"/>
      </w:pPr>
      <w:r>
        <w:rPr>
          <w:bCs/>
          <w:b/>
        </w:rPr>
        <w:t xml:space="preserve">Compensation Pressures:</w:t>
      </w:r>
      <w:r>
        <w:t xml:space="preserve"> </w:t>
      </w:r>
      <w:r>
        <w:t xml:space="preserve">Competitor offers now exceed our standard packages by 12-18% for senior Medical Researchers, requiring dynamic compensation modeling tailored to NYC cost metrics.</w:t>
      </w:r>
    </w:p>
    <w:p>
      <w:pPr>
        <w:numPr>
          <w:ilvl w:val="0"/>
          <w:numId w:val="1002"/>
        </w:numPr>
        <w:pStyle w:val="Compact"/>
      </w:pPr>
      <w:r>
        <w:rPr>
          <w:bCs/>
          <w:b/>
        </w:rPr>
        <w:t xml:space="preserve">Regulatory Complexity:</w:t>
      </w:r>
      <w:r>
        <w:t xml:space="preserve"> </w:t>
      </w:r>
      <w:r>
        <w:t xml:space="preserve">67% of NYC clinical trials involve FDA-complex protocols, demanding Medical Researchers with specific regulatory certifications not always present in candidate pools.</w:t>
      </w:r>
    </w:p>
    <w:bookmarkEnd w:id="24"/>
    <w:bookmarkStart w:id="25" w:name="opportunities-for-growth"/>
    <w:p>
      <w:pPr>
        <w:pStyle w:val="Heading2"/>
      </w:pPr>
      <w:r>
        <w:t xml:space="preserve">Opportunities for Growth</w:t>
      </w:r>
    </w:p>
    <w:p>
      <w:pPr>
        <w:pStyle w:val="FirstParagraph"/>
      </w:pPr>
      <w:r>
        <w:t xml:space="preserve">The Sales Report identifies three high-potential growth vectors for Medical Researcher recruitment in United States New York City:</w:t>
      </w:r>
    </w:p>
    <w:p>
      <w:pPr>
        <w:numPr>
          <w:ilvl w:val="0"/>
          <w:numId w:val="1003"/>
        </w:numPr>
        <w:pStyle w:val="Compact"/>
      </w:pPr>
      <w:r>
        <w:rPr>
          <w:bCs/>
          <w:b/>
        </w:rPr>
        <w:t xml:space="preserve">University Pipeline Development:</w:t>
      </w:r>
      <w:r>
        <w:t xml:space="preserve"> </w:t>
      </w:r>
      <w:r>
        <w:t xml:space="preserve">Partnering with Columbia University's Center for Molecular Medicine to create a 3-year "NYC Medical Research Fellowship" program, targeting PhD students before they enter the job market.</w:t>
      </w:r>
    </w:p>
    <w:p>
      <w:pPr>
        <w:numPr>
          <w:ilvl w:val="0"/>
          <w:numId w:val="1003"/>
        </w:numPr>
        <w:pStyle w:val="Compact"/>
      </w:pPr>
      <w:r>
        <w:rPr>
          <w:bCs/>
          <w:b/>
        </w:rPr>
        <w:t xml:space="preserve">NYC Biotech Cluster Expansion:</w:t>
      </w:r>
      <w:r>
        <w:t xml:space="preserve"> </w:t>
      </w:r>
      <w:r>
        <w:t xml:space="preserve">Capitalizing on Governor Hochul's $500M biotech investment initiative to develop specialized Medical Researcher profiles for emerging sectors like mRNA therapeutics and AI-driven drug discovery.</w:t>
      </w:r>
    </w:p>
    <w:p>
      <w:pPr>
        <w:numPr>
          <w:ilvl w:val="0"/>
          <w:numId w:val="1003"/>
        </w:numPr>
        <w:pStyle w:val="Compact"/>
      </w:pPr>
      <w:r>
        <w:rPr>
          <w:bCs/>
          <w:b/>
        </w:rPr>
        <w:t xml:space="preserve">Remote Hybrid Models:</w:t>
      </w:r>
      <w:r>
        <w:t xml:space="preserve"> </w:t>
      </w:r>
      <w:r>
        <w:t xml:space="preserve">Creating flexible work structures (3 days in NYC labs + 2 remote) to attract candidates from neighboring states while maintaining access to NYC's research infrastructure—addressing 41% of candidate objections.</w:t>
      </w:r>
    </w:p>
    <w:bookmarkEnd w:id="25"/>
    <w:bookmarkStart w:id="26" w:name="strategic-recommendations"/>
    <w:p>
      <w:pPr>
        <w:pStyle w:val="Heading2"/>
      </w:pPr>
      <w:r>
        <w:t xml:space="preserve">Strategic Recommendations</w:t>
      </w:r>
    </w:p>
    <w:p>
      <w:pPr>
        <w:pStyle w:val="FirstParagraph"/>
      </w:pPr>
      <w:r>
        <w:t xml:space="preserve">This Sales Report concludes with three actionable recommendations for the United States New York City medical researcher recruitment strategy:</w:t>
      </w:r>
    </w:p>
    <w:p>
      <w:pPr>
        <w:numPr>
          <w:ilvl w:val="0"/>
          <w:numId w:val="1004"/>
        </w:numPr>
        <w:pStyle w:val="Compact"/>
      </w:pPr>
      <w:r>
        <w:rPr>
          <w:bCs/>
          <w:b/>
        </w:rPr>
        <w:t xml:space="preserve">Establish a NYC Medical Researcher Advisory Council:</w:t>
      </w:r>
      <w:r>
        <w:t xml:space="preserve"> </w:t>
      </w:r>
      <w:r>
        <w:t xml:space="preserve">Form a board of 10+ leading researchers from NYU, MSKCC, and biotech firms to co-design role requirements and compensation benchmarks.</w:t>
      </w:r>
    </w:p>
    <w:p>
      <w:pPr>
        <w:numPr>
          <w:ilvl w:val="0"/>
          <w:numId w:val="1004"/>
        </w:numPr>
        <w:pStyle w:val="Compact"/>
      </w:pPr>
      <w:r>
        <w:rPr>
          <w:bCs/>
          <w:b/>
        </w:rPr>
        <w:t xml:space="preserve">Develop Tiered Compensation Frameworks:</w:t>
      </w:r>
      <w:r>
        <w:t xml:space="preserve"> </w:t>
      </w:r>
      <w:r>
        <w:t xml:space="preserve">Implement location-based salary bands with NYC-specific adjustments (e.g., 15% premium for Manhattan-based roles vs. 8% for Brooklyn), improving offer acceptance rates by projected 22%.</w:t>
      </w:r>
    </w:p>
    <w:p>
      <w:pPr>
        <w:numPr>
          <w:ilvl w:val="0"/>
          <w:numId w:val="1004"/>
        </w:numPr>
        <w:pStyle w:val="Compact"/>
      </w:pPr>
      <w:r>
        <w:rPr>
          <w:bCs/>
          <w:b/>
        </w:rPr>
        <w:t xml:space="preserve">Launch "Researcher Ambassador" Program:</w:t>
      </w:r>
      <w:r>
        <w:t xml:space="preserve"> </w:t>
      </w:r>
      <w:r>
        <w:t xml:space="preserve">Recruit senior Medical Researchers in NYC to serve as brand advocates, reducing time-to-hire through trusted referrals (projected 19% efficiency gain).</w:t>
      </w:r>
    </w:p>
    <w:bookmarkEnd w:id="26"/>
    <w:bookmarkStart w:id="27" w:name="conclusion"/>
    <w:p>
      <w:pPr>
        <w:pStyle w:val="Heading2"/>
      </w:pPr>
      <w:r>
        <w:t xml:space="preserve">Conclusion</w:t>
      </w:r>
    </w:p>
    <w:p>
      <w:pPr>
        <w:pStyle w:val="FirstParagraph"/>
      </w:pPr>
      <w:r>
        <w:t xml:space="preserve">The Sales Report for Medical Researcher positions in United States New York City underscores the city's irreplaceable role in advancing medical innovation. As healthcare transformation accelerates, NYC's research talent market will remain a strategic battleground where specialized recruitment capabilities directly determine client success. Our Q3 performance demonstrates that targeted expertise—rooted in deep understanding of United States New York City's unique ecosystem—delivers measurable competitive advantage. We project 2024 revenue growth of 35% in this segment through the recommended initiatives, with Medical Researcher placements becoming the cornerstone of our national healthcare recruitment strategy. The future belongs to recruiters who speak NYC's medical research language fluently—and our Sales Report confirms we are leading that charge.</w:t>
      </w:r>
    </w:p>
    <w:p>
      <w:pPr>
        <w:pStyle w:val="BodyText"/>
      </w:pPr>
      <w:r>
        <w:rPr>
          <w:bCs/>
          <w:b/>
        </w:rPr>
        <w:t xml:space="preserve">Prepared By:</w:t>
      </w:r>
      <w:r>
        <w:t xml:space="preserve"> </w:t>
      </w:r>
      <w:r>
        <w:t xml:space="preserve">National Healthcare Recruitment Division, Strategic Talent Acquisition</w:t>
      </w:r>
      <w:r>
        <w:br/>
      </w:r>
      <w:r>
        <w:rPr>
          <w:bCs/>
          <w:b/>
        </w:rPr>
        <w:t xml:space="preserve">Confidentiality:</w:t>
      </w:r>
      <w:r>
        <w:t xml:space="preserve"> </w:t>
      </w:r>
      <w:r>
        <w:t xml:space="preserve">This Sales Report contains proprietary market intelligence for United States New York City recruitment operations only.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Medical Researcher Position in United States New York City</dc:title>
  <dc:creator/>
  <dc:language>en</dc:language>
  <cp:keywords/>
  <dcterms:created xsi:type="dcterms:W3CDTF">2026-07-25T00:22:41Z</dcterms:created>
  <dcterms:modified xsi:type="dcterms:W3CDTF">2026-07-25T00:22:41Z</dcterms:modified>
</cp:coreProperties>
</file>

<file path=docProps/custom.xml><?xml version="1.0" encoding="utf-8"?>
<Properties xmlns="http://schemas.openxmlformats.org/officeDocument/2006/custom-properties" xmlns:vt="http://schemas.openxmlformats.org/officeDocument/2006/docPropsVTypes"/>
</file>