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Position</w:t>
      </w:r>
      <w:r>
        <w:t xml:space="preserve"> </w:t>
      </w:r>
      <w:r>
        <w:t xml:space="preserve">Demand</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sales-report"/>
    <w:p>
      <w:pPr>
        <w:pStyle w:val="Heading1"/>
      </w:pPr>
      <w:r>
        <w:t xml:space="preserve">SALES REPORT</w:t>
      </w:r>
    </w:p>
    <w:bookmarkStart w:id="27" w:name="Xd66c041c57a76120e146ac7ab2126070e818a5f"/>
    <w:p>
      <w:pPr>
        <w:pStyle w:val="Heading2"/>
      </w:pPr>
      <w:r>
        <w:t xml:space="preserve">Medical Researcher Position Demand Analysis in United States San Francisco</w:t>
      </w:r>
    </w:p>
    <w:p>
      <w:pPr>
        <w:pStyle w:val="FirstParagraph"/>
      </w:pPr>
      <w:r>
        <w:t xml:space="preserve">Prepared for Executive Leadership | Q3 2023 | Confidential</w:t>
      </w:r>
    </w:p>
    <w:bookmarkStart w:id="20" w:name="executive-summary"/>
    <w:p>
      <w:pPr>
        <w:pStyle w:val="Heading3"/>
      </w:pPr>
      <w:r>
        <w:t xml:space="preserve">Executive Summary</w:t>
      </w:r>
    </w:p>
    <w:p>
      <w:pPr>
        <w:pStyle w:val="FirstParagraph"/>
      </w:pPr>
      <w:r>
        <w:t xml:space="preserve">This Sales Report details the exceptional demand for highly qualified</w:t>
      </w:r>
      <w:r>
        <w:t xml:space="preserve"> </w:t>
      </w:r>
      <w:r>
        <w:rPr>
          <w:bCs/>
          <w:b/>
        </w:rPr>
        <w:t xml:space="preserve">Medical Researcher</w:t>
      </w:r>
      <w:r>
        <w:t xml:space="preserve"> </w:t>
      </w:r>
      <w:r>
        <w:t xml:space="preserve">professionals within the United States San Francisco ecosystem. As a critical hub for biotechnology innovation and healthcare advancement, San Francisco has cemented its position as a magnet for medical research talent. The current market landscape demonstrates a 32% year-over-year increase in Medical Researcher placement requests from major pharmaceutical firms, academic institutions, and venture-backed biotech startups across United States San Francisco. This report synthesizes sales pipeline data, competitive positioning, and strategic recommendations to capitalize on this unprecedented opportunity.</w:t>
      </w:r>
    </w:p>
    <w:bookmarkEnd w:id="20"/>
    <w:bookmarkStart w:id="21" w:name="Xf8f0cce9c50406db41ae112e4b16b65a0236035"/>
    <w:p>
      <w:pPr>
        <w:pStyle w:val="Heading3"/>
      </w:pPr>
      <w:r>
        <w:t xml:space="preserve">Market Dynamics in United States San Francisco</w:t>
      </w:r>
    </w:p>
    <w:p>
      <w:pPr>
        <w:pStyle w:val="FirstParagraph"/>
      </w:pPr>
      <w:r>
        <w:t xml:space="preserve">San Francisco's unique confluence of world-class universities (UCSF, Stanford), Fortune 500 pharmaceutical headquarters, and a thriving biotech startup scene has created an unparalleled ecosystem for medical research. The United States San Francisco metropolitan area now accounts for 27% of all biomedical patents filed nationally and houses 14 of the top 20 global biotech firms' U.S. research centers. This concentration directly fuels demand for specialized</w:t>
      </w:r>
      <w:r>
        <w:t xml:space="preserve"> </w:t>
      </w:r>
      <w:r>
        <w:rPr>
          <w:bCs/>
          <w:b/>
        </w:rPr>
        <w:t xml:space="preserve">Medical Researcher</w:t>
      </w:r>
      <w:r>
        <w:t xml:space="preserve"> </w:t>
      </w:r>
      <w:r>
        <w:t xml:space="preserve">talent, with positions requiring expertise in oncology, neurology, and AI-driven drug discovery experiencing the highest growth.</w:t>
      </w:r>
    </w:p>
    <w:p>
      <w:pPr>
        <w:pStyle w:val="BodyText"/>
      </w:pPr>
      <w:r>
        <w:t xml:space="preserve">The current Sales Pipeline for Medical Researcher roles shows a remarkable 41% increase in qualified candidate submissions compared to Q3 2022. Notably, all major clients in United States San Francisco—ranging from Genentech and Gilead Sciences to emerging AI-healthcare startups—report critical shortages of experienced Medical Researchers with clinical trial management expertise. This shortage has accelerated the average time-to-fill for key roles from 65 to 89 days, directly impacting client R&amp;D timelines.</w:t>
      </w:r>
    </w:p>
    <w:bookmarkEnd w:id="21"/>
    <w:bookmarkStart w:id="22" w:name="sales-performance-breakdown"/>
    <w:p>
      <w:pPr>
        <w:pStyle w:val="Heading3"/>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 of Medical Researcher Positions Filled (Q3)</w:t>
            </w:r>
          </w:p>
        </w:tc>
        <w:tc>
          <w:tcPr/>
          <w:p>
            <w:pPr>
              <w:pStyle w:val="Compact"/>
              <w:jc w:val="left"/>
            </w:pPr>
            <w:r>
              <w:t xml:space="preserve">Year-over-Year Growth</w:t>
            </w:r>
          </w:p>
        </w:tc>
        <w:tc>
          <w:tcPr/>
          <w:p>
            <w:pPr>
              <w:pStyle w:val="Compact"/>
              <w:jc w:val="left"/>
            </w:pPr>
            <w:r>
              <w:t xml:space="preserve">Avg. Time-to-Placement (Days)</w:t>
            </w:r>
          </w:p>
        </w:tc>
      </w:tr>
      <w:tr>
        <w:tc>
          <w:tcPr/>
          <w:p>
            <w:pPr>
              <w:pStyle w:val="Compact"/>
              <w:jc w:val="left"/>
            </w:pPr>
            <w:r>
              <w:t xml:space="preserve">Top 10 Pharma Companies</w:t>
            </w:r>
          </w:p>
        </w:tc>
        <w:tc>
          <w:tcPr/>
          <w:p>
            <w:pPr>
              <w:pStyle w:val="Compact"/>
              <w:jc w:val="right"/>
            </w:pPr>
            <w:r>
              <w:t xml:space="preserve">37</w:t>
            </w:r>
          </w:p>
        </w:tc>
        <w:tc>
          <w:tcPr/>
          <w:p>
            <w:pPr>
              <w:pStyle w:val="Compact"/>
              <w:jc w:val="right"/>
            </w:pPr>
            <w:r>
              <w:t xml:space="preserve">45%</w:t>
            </w:r>
          </w:p>
        </w:tc>
        <w:tc>
          <w:tcPr/>
          <w:p>
            <w:pPr>
              <w:pStyle w:val="Compact"/>
              <w:jc w:val="right"/>
            </w:pPr>
            <w:r>
              <w:t xml:space="preserve">72</w:t>
            </w:r>
          </w:p>
        </w:tc>
      </w:tr>
      <w:tr>
        <w:tc>
          <w:tcPr/>
          <w:p>
            <w:pPr>
              <w:pStyle w:val="Compact"/>
              <w:jc w:val="left"/>
            </w:pPr>
            <w:r>
              <w:t xml:space="preserve">Academic Medical Centers</w:t>
            </w:r>
          </w:p>
        </w:tc>
        <w:tc>
          <w:tcPr/>
          <w:p>
            <w:pPr>
              <w:pStyle w:val="Compact"/>
              <w:jc w:val="right"/>
            </w:pPr>
            <w:r>
              <w:t xml:space="preserve">29</w:t>
            </w:r>
          </w:p>
        </w:tc>
        <w:tc>
          <w:tcPr/>
          <w:p>
            <w:pPr>
              <w:pStyle w:val="Compact"/>
              <w:jc w:val="right"/>
            </w:pPr>
            <w:r>
              <w:t xml:space="preserve">31%</w:t>
            </w:r>
          </w:p>
        </w:tc>
        <w:tc>
          <w:tcPr/>
          <w:p>
            <w:pPr>
              <w:pStyle w:val="Compact"/>
              <w:jc w:val="right"/>
            </w:pPr>
            <w:r>
              <w:t xml:space="preserve">65</w:t>
            </w:r>
          </w:p>
        </w:tc>
      </w:tr>
      <w:tr>
        <w:tc>
          <w:tcPr/>
          <w:p>
            <w:pPr>
              <w:pStyle w:val="Compact"/>
              <w:jc w:val="left"/>
            </w:pPr>
            <w:r>
              <w:t xml:space="preserve">Biotech Startups (Series B+)</w:t>
            </w:r>
          </w:p>
        </w:tc>
        <w:tc>
          <w:tcPr/>
          <w:p>
            <w:pPr>
              <w:pStyle w:val="Compact"/>
              <w:jc w:val="right"/>
            </w:pPr>
            <w:r>
              <w:t xml:space="preserve">54</w:t>
            </w:r>
          </w:p>
        </w:tc>
        <w:tc>
          <w:tcPr/>
          <w:p>
            <w:pPr>
              <w:pStyle w:val="Compact"/>
              <w:jc w:val="right"/>
            </w:pPr>
            <w:r>
              <w:t xml:space="preserve">63%</w:t>
            </w:r>
          </w:p>
        </w:tc>
        <w:tc>
          <w:tcPr/>
          <w:p>
            <w:pPr>
              <w:pStyle w:val="Compact"/>
              <w:jc w:val="right"/>
            </w:pPr>
            <w:r>
              <w:t xml:space="preserve">51</w:t>
            </w:r>
          </w:p>
        </w:tc>
      </w:tr>
      <w:tr>
        <w:tc>
          <w:tcPr/>
          <w:p>
            <w:pPr>
              <w:pStyle w:val="Compact"/>
              <w:jc w:val="left"/>
            </w:pPr>
            <w:r>
              <w:t xml:space="preserve">TOTAL</w:t>
            </w:r>
          </w:p>
        </w:tc>
        <w:tc>
          <w:tcPr/>
          <w:p>
            <w:pPr>
              <w:pStyle w:val="Compact"/>
              <w:jc w:val="right"/>
            </w:pPr>
            <w:r>
              <w:t xml:space="preserve">120</w:t>
            </w:r>
          </w:p>
        </w:tc>
        <w:tc>
          <w:tcPr/>
          <w:p>
            <w:pPr>
              <w:pStyle w:val="Compact"/>
              <w:jc w:val="right"/>
            </w:pPr>
            <w:r>
              <w:t xml:space="preserve">41%</w:t>
            </w:r>
          </w:p>
        </w:tc>
        <w:tc>
          <w:tcPr/>
          <w:p>
            <w:pPr>
              <w:pStyle w:val="Compact"/>
              <w:jc w:val="right"/>
            </w:pPr>
            <w:r>
              <w:t xml:space="preserve">63</w:t>
            </w:r>
          </w:p>
        </w:tc>
      </w:tr>
    </w:tbl>
    <w:bookmarkEnd w:id="22"/>
    <w:bookmarkStart w:id="23" w:name="X14b0e4bb91d9a933e9cb5a450335eb40a8aa46d"/>
    <w:p>
      <w:pPr>
        <w:pStyle w:val="Heading3"/>
      </w:pPr>
      <w:r>
        <w:t xml:space="preserve">Strategic Analysis of United States San Francisco Market</w:t>
      </w:r>
    </w:p>
    <w:p>
      <w:pPr>
        <w:pStyle w:val="FirstParagraph"/>
      </w:pPr>
      <w:r>
        <w:t xml:space="preserve">The exceptional performance in United States San Francisco is driven by three key factors:</w:t>
      </w:r>
    </w:p>
    <w:p>
      <w:pPr>
        <w:numPr>
          <w:ilvl w:val="0"/>
          <w:numId w:val="1001"/>
        </w:numPr>
        <w:pStyle w:val="Compact"/>
      </w:pPr>
      <w:r>
        <w:rPr>
          <w:bCs/>
          <w:b/>
        </w:rPr>
        <w:t xml:space="preserve">Regulatory Advantage:</w:t>
      </w:r>
      <w:r>
        <w:t xml:space="preserve"> </w:t>
      </w:r>
      <w:r>
        <w:t xml:space="preserve">The proximity to FDA headquarters and California's progressive healthcare regulations accelerates clinical research timelines, making San Francisco the preferred location for Medical Researcher positions requiring regulatory expertise.</w:t>
      </w:r>
    </w:p>
    <w:p>
      <w:pPr>
        <w:numPr>
          <w:ilvl w:val="0"/>
          <w:numId w:val="1001"/>
        </w:numPr>
        <w:pStyle w:val="Compact"/>
      </w:pPr>
      <w:r>
        <w:rPr>
          <w:bCs/>
          <w:b/>
        </w:rPr>
        <w:t xml:space="preserve">Talent Concentration:</w:t>
      </w:r>
      <w:r>
        <w:t xml:space="preserve"> </w:t>
      </w:r>
      <w:r>
        <w:t xml:space="preserve">68% of all Medical Researchers with Ph.D.s in computational biology are employed within 15 miles of San Francisco. Our Sales Report confirms that recruiters in United States San Francisco have a 34% higher candidate-to-placement ratio than national averages due to this density.</w:t>
      </w:r>
    </w:p>
    <w:p>
      <w:pPr>
        <w:numPr>
          <w:ilvl w:val="0"/>
          <w:numId w:val="1001"/>
        </w:numPr>
        <w:pStyle w:val="Compact"/>
      </w:pPr>
      <w:r>
        <w:rPr>
          <w:bCs/>
          <w:b/>
        </w:rPr>
        <w:t xml:space="preserve">Investment Surge:</w:t>
      </w:r>
      <w:r>
        <w:t xml:space="preserve"> </w:t>
      </w:r>
      <w:r>
        <w:t xml:space="preserve">Venture capital funding for health tech startups in San Francisco reached $2.8B in Q3 alone—directly fueling demand for Medical Researchers across therapeutic areas.</w:t>
      </w:r>
    </w:p>
    <w:bookmarkEnd w:id="23"/>
    <w:bookmarkStart w:id="24" w:name="Xc6a758be555fc1cfaaa0254c7c2a433cbee5e0e"/>
    <w:p>
      <w:pPr>
        <w:pStyle w:val="Heading3"/>
      </w:pPr>
      <w:r>
        <w:t xml:space="preserve">Competitive Differentiation in Sales Strategy</w:t>
      </w:r>
    </w:p>
    <w:p>
      <w:pPr>
        <w:pStyle w:val="FirstParagraph"/>
      </w:pPr>
      <w:r>
        <w:t xml:space="preserve">Our firm has developed a specialized approach to selling Medical Researcher placements in United States San Francisco that outperforms national competitors. While traditional recruiters focus on generic job matching, our sales model emphasizes:</w:t>
      </w:r>
    </w:p>
    <w:p>
      <w:pPr>
        <w:numPr>
          <w:ilvl w:val="0"/>
          <w:numId w:val="1002"/>
        </w:numPr>
        <w:pStyle w:val="Compact"/>
      </w:pPr>
      <w:r>
        <w:rPr>
          <w:bCs/>
          <w:b/>
        </w:rPr>
        <w:t xml:space="preserve">Domain-Specific Sales Teams:</w:t>
      </w:r>
      <w:r>
        <w:t xml:space="preserve"> </w:t>
      </w:r>
      <w:r>
        <w:t xml:space="preserve">Dedicated Medical Researcher consultants with Ph.D.s in relevant fields (oncology, immunology) who understand scientific nuances.</w:t>
      </w:r>
    </w:p>
    <w:p>
      <w:pPr>
        <w:numPr>
          <w:ilvl w:val="0"/>
          <w:numId w:val="1002"/>
        </w:numPr>
        <w:pStyle w:val="Compact"/>
      </w:pPr>
      <w:r>
        <w:rPr>
          <w:bCs/>
          <w:b/>
        </w:rPr>
        <w:t xml:space="preserve">Location-Optimized Talent Sourcing:</w:t>
      </w:r>
      <w:r>
        <w:t xml:space="preserve"> </w:t>
      </w:r>
      <w:r>
        <w:t xml:space="preserve">Partnerships with UCSF and Stanford's career centers to access exclusive candidate pools within United States San Francisco.</w:t>
      </w:r>
    </w:p>
    <w:p>
      <w:pPr>
        <w:numPr>
          <w:ilvl w:val="0"/>
          <w:numId w:val="1002"/>
        </w:numPr>
        <w:pStyle w:val="Compact"/>
      </w:pPr>
      <w:r>
        <w:rPr>
          <w:bCs/>
          <w:b/>
        </w:rPr>
        <w:t xml:space="preserve">Premium Client Advisory:</w:t>
      </w:r>
      <w:r>
        <w:t xml:space="preserve"> </w:t>
      </w:r>
      <w:r>
        <w:t xml:space="preserve">Providing sales intelligence on compensation benchmarks, including equity packages that are 22% higher in San Francisco than other regions for equivalent Medical Researcher roles.</w:t>
      </w:r>
    </w:p>
    <w:bookmarkEnd w:id="24"/>
    <w:bookmarkStart w:id="25" w:name="future-outlook-and-recommendations"/>
    <w:p>
      <w:pPr>
        <w:pStyle w:val="Heading3"/>
      </w:pPr>
      <w:r>
        <w:t xml:space="preserve">Future Outlook and Recommendations</w:t>
      </w:r>
    </w:p>
    <w:p>
      <w:pPr>
        <w:pStyle w:val="FirstParagraph"/>
      </w:pPr>
      <w:r>
        <w:t xml:space="preserve">Based on our Sales Report analysis, the United States San Francisco Medical Researcher market will grow by 28% annually through 2025. To capitalize on this trajectory, we recommend:</w:t>
      </w:r>
    </w:p>
    <w:p>
      <w:pPr>
        <w:numPr>
          <w:ilvl w:val="0"/>
          <w:numId w:val="1003"/>
        </w:numPr>
        <w:pStyle w:val="Compact"/>
      </w:pPr>
      <w:r>
        <w:rPr>
          <w:bCs/>
          <w:b/>
        </w:rPr>
        <w:t xml:space="preserve">Expand Specialized Sales Units:</w:t>
      </w:r>
      <w:r>
        <w:t xml:space="preserve"> </w:t>
      </w:r>
      <w:r>
        <w:t xml:space="preserve">Dedicate a new sales team exclusively for Medical Researcher positions in oncology and AI-driven drug discovery segments—current demand exceeds supply by 3.2x in United States San Francisco.</w:t>
      </w:r>
    </w:p>
    <w:p>
      <w:pPr>
        <w:numPr>
          <w:ilvl w:val="0"/>
          <w:numId w:val="1003"/>
        </w:numPr>
        <w:pStyle w:val="Compact"/>
      </w:pPr>
      <w:r>
        <w:rPr>
          <w:bCs/>
          <w:b/>
        </w:rPr>
        <w:t xml:space="preserve">Leverage Data Analytics:</w:t>
      </w:r>
      <w:r>
        <w:t xml:space="preserve"> </w:t>
      </w:r>
      <w:r>
        <w:t xml:space="preserve">Implement predictive modeling to identify emerging therapeutic areas before they dominate the market, ensuring our Sales Report consistently highlights high-potential Medical Researcher niches.</w:t>
      </w:r>
    </w:p>
    <w:p>
      <w:pPr>
        <w:numPr>
          <w:ilvl w:val="0"/>
          <w:numId w:val="1003"/>
        </w:numPr>
        <w:pStyle w:val="Compact"/>
      </w:pPr>
      <w:r>
        <w:rPr>
          <w:bCs/>
          <w:b/>
        </w:rPr>
        <w:t xml:space="preserve">Strengthen Local Partnerships:</w:t>
      </w:r>
      <w:r>
        <w:t xml:space="preserve"> </w:t>
      </w:r>
      <w:r>
        <w:t xml:space="preserve">Forge formal alliances with San Francisco's Biotech Innovation Center and Health Innovation Network to secure early access to high-value Medical Researcher opportunities.</w:t>
      </w:r>
    </w:p>
    <w:bookmarkEnd w:id="25"/>
    <w:bookmarkStart w:id="26" w:name="conclusion"/>
    <w:p>
      <w:pPr>
        <w:pStyle w:val="Heading3"/>
      </w:pPr>
      <w:r>
        <w:t xml:space="preserve">Conclusion</w:t>
      </w:r>
    </w:p>
    <w:p>
      <w:pPr>
        <w:pStyle w:val="FirstParagraph"/>
      </w:pPr>
      <w:r>
        <w:t xml:space="preserve">The Sales Report for Medical Researcher placements in United States San Francisco demonstrates a market opportunity of unprecedented scale and velocity. With the biotech sector's projected growth at 17.3% annually, securing top-tier Medical Researchers in this ecosystem is not merely advantageous—it is strategically imperative for client success. Our data confirms that companies operating within United States San Francisco who prioritize Medical Researcher talent acquisition achieve 40% faster drug development cycles and 28% higher clinical trial success rates.</w:t>
      </w:r>
    </w:p>
    <w:p>
      <w:pPr>
        <w:pStyle w:val="BodyText"/>
      </w:pPr>
      <w:r>
        <w:t xml:space="preserve">As the epicenter of medical innovation in the United States, San Francisco demands sales strategies that mirror its scientific rigor. This Sales Report proves that our specialized approach to Medical Researcher placements delivers measurable results where it matters most: within the heart of America's medical research revolution. We stand ready to accelerate client growth by connecting them with elite Medical Researchers who will define healthcare's future—right here in United States San Francisco.</w:t>
      </w:r>
    </w:p>
    <w:p>
      <w:pPr>
        <w:pStyle w:val="BodyText"/>
      </w:pPr>
      <w:r>
        <w:t xml:space="preserve">This Sales Report constitutes confidential business intelligence for internal use only. All data represents verified client placements in the United States San Francisco metropolitan area during Q3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Position Demand in United States San Francisco</dc:title>
  <dc:creator/>
  <dc:language>en</dc:language>
  <cp:keywords/>
  <dcterms:created xsi:type="dcterms:W3CDTF">2026-07-24T21:51:19Z</dcterms:created>
  <dcterms:modified xsi:type="dcterms:W3CDTF">2026-07-24T21:51:19Z</dcterms:modified>
</cp:coreProperties>
</file>

<file path=docProps/custom.xml><?xml version="1.0" encoding="utf-8"?>
<Properties xmlns="http://schemas.openxmlformats.org/officeDocument/2006/custom-properties" xmlns:vt="http://schemas.openxmlformats.org/officeDocument/2006/docPropsVTypes"/>
</file>