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fb28edeb3e2c0093315fed470c2de08adc778e"/>
    <w:p>
      <w:pPr>
        <w:pStyle w:val="Heading1"/>
      </w:pPr>
      <w:r>
        <w:t xml:space="preserve">Sales Report: Medical Researcher Performance in Uzbekistan Tashkent Market (Q3 2023)</w:t>
      </w:r>
    </w:p>
    <w:p>
      <w:pPr>
        <w:pStyle w:val="FirstParagraph"/>
      </w:pPr>
      <w:r>
        <w:rPr>
          <w:bCs/>
          <w:b/>
        </w:rPr>
        <w:t xml:space="preserve">Prepared For:</w:t>
      </w:r>
      <w:r>
        <w:t xml:space="preserve"> </w:t>
      </w:r>
      <w:r>
        <w:t xml:space="preserve">Global Healthcare Solutions Executive Board</w:t>
      </w:r>
      <w:r>
        <w:br/>
      </w:r>
      <w:r>
        <w:rPr>
          <w:bCs/>
          <w:b/>
        </w:rPr>
        <w:t xml:space="preserve">Date:</w:t>
      </w:r>
      <w:r>
        <w:t xml:space="preserve"> </w:t>
      </w:r>
      <w:r>
        <w:t xml:space="preserve">October 26, 2023</w:t>
      </w:r>
      <w:r>
        <w:br/>
      </w:r>
      <w:r>
        <w:rPr>
          <w:bCs/>
          <w:b/>
        </w:rPr>
        <w:t xml:space="preserve">Region Covered:</w:t>
      </w:r>
      <w:r>
        <w:t xml:space="preserve"> </w:t>
      </w:r>
      <w:r>
        <w:t xml:space="preserve">Uzbekistan Tashkent (including Tashkent Region and adjacent cities)</w:t>
      </w:r>
    </w:p>
    <w:bookmarkStart w:id="20" w:name="i.-executive-summary"/>
    <w:p>
      <w:pPr>
        <w:pStyle w:val="Heading2"/>
      </w:pPr>
      <w:r>
        <w:t xml:space="preserve">I. Executive Summary</w:t>
      </w:r>
    </w:p>
    <w:p>
      <w:pPr>
        <w:pStyle w:val="FirstParagraph"/>
      </w:pPr>
      <w:r>
        <w:t xml:space="preserve">This Sales Report details the performance of our Medical Researcher team within the Uzbekistan Tashkent healthcare ecosystem during Q3 2023. The report underscores how strategic medical research directly fuels sales growth for pharmaceutical and biotech clients in one of Central Asia's most dynamic markets. Key achievements include a 27% year-over-year increase in local client acquisition, driven by data-driven insights from our Medical Researcher network operating exclusively within Tashkent's healthcare infrastructure. The integration of field-based medical research with sales strategies has proven critical for navigating Uzbekistan's unique regulatory landscape and cultural nuances.</w:t>
      </w:r>
    </w:p>
    <w:bookmarkEnd w:id="20"/>
    <w:bookmarkStart w:id="21" w:name="Xcd64777e083e784b32e3d1379662094670a8f96"/>
    <w:p>
      <w:pPr>
        <w:pStyle w:val="Heading2"/>
      </w:pPr>
      <w:r>
        <w:t xml:space="preserve">II. Market Context: Uzbekistan Tashkent Healthcare Landscape</w:t>
      </w:r>
    </w:p>
    <w:p>
      <w:pPr>
        <w:pStyle w:val="FirstParagraph"/>
      </w:pPr>
      <w:r>
        <w:t xml:space="preserve">Uzbekistan, under its National Development Strategy 2030, is prioritizing healthcare modernization with significant investments in Tashkent, the national capital and economic hub. The city hosts over 65% of Uzbekistan's tertiary care facilities, including the prestigious Tashkent Medical Academy and numerous public hospitals. Recent reforms (2021-2023) have streamlined drug approval processes under the Ministry of Health, creating a surge in demand for evidence-based medical solutions. Our Medical Researcher team has been instrumental in translating these policy shifts into actionable sales opportunities within Tashkent's competitive market. The city's growing middle class and focus on chronic disease management (diabetes, cardiovascular conditions) present high-value targets aligned with our clients' portfolios.</w:t>
      </w:r>
    </w:p>
    <w:bookmarkEnd w:id="21"/>
    <w:bookmarkStart w:id="22" w:name="Xd6a7b1742394a4521e54b29dcc4795c6159fdcf"/>
    <w:p>
      <w:pPr>
        <w:pStyle w:val="Heading2"/>
      </w:pPr>
      <w:r>
        <w:t xml:space="preserve">III. Medical Researcher Impact on Sales Performance</w:t>
      </w:r>
    </w:p>
    <w:p>
      <w:pPr>
        <w:pStyle w:val="FirstParagraph"/>
      </w:pPr>
      <w:r>
        <w:t xml:space="preserve">The core value of our Medical Researchers in Uzbekistan Tashkent lies in bridging clinical evidence with commercial strategy. Unlike generic sales reps, these specialists—employed by Global Healthcare Solutions (GHS) and embedded within Tashkent's healthcare network—conduct real-world data collection, analyze treatment outcomes at major clinics (e.g., Tashkent City Clinical Hospital No. 1), and provide actionable insights to our sales teams. Key Q3 achievements include:</w:t>
      </w:r>
    </w:p>
    <w:p>
      <w:pPr>
        <w:numPr>
          <w:ilvl w:val="0"/>
          <w:numId w:val="1001"/>
        </w:numPr>
        <w:pStyle w:val="Compact"/>
      </w:pPr>
      <w:r>
        <w:rPr>
          <w:bCs/>
          <w:b/>
        </w:rPr>
        <w:t xml:space="preserve">Client Acquisition:</w:t>
      </w:r>
      <w:r>
        <w:t xml:space="preserve"> </w:t>
      </w:r>
      <w:r>
        <w:t xml:space="preserve">Secured partnerships with 5 new hospitals and two regional pharmaceutical distributors in Tashkent, directly attributed to research findings on unmet needs in pediatric diabetes management.</w:t>
      </w:r>
    </w:p>
    <w:p>
      <w:pPr>
        <w:numPr>
          <w:ilvl w:val="0"/>
          <w:numId w:val="1001"/>
        </w:numPr>
        <w:pStyle w:val="Compact"/>
      </w:pPr>
      <w:r>
        <w:rPr>
          <w:bCs/>
          <w:b/>
        </w:rPr>
        <w:t xml:space="preserve">Sales Conversion Rate:</w:t>
      </w:r>
      <w:r>
        <w:t xml:space="preserve"> </w:t>
      </w:r>
      <w:r>
        <w:t xml:space="preserve">Medical Researchers provided evidence that reduced client objection time by 42% during sales cycles. For example, data from a Tashkent-based clinical observation study on our oncology product accelerated approval timelines with the Tashkent Regional Health Authority.</w:t>
      </w:r>
    </w:p>
    <w:p>
      <w:pPr>
        <w:numPr>
          <w:ilvl w:val="0"/>
          <w:numId w:val="1001"/>
        </w:numPr>
        <w:pStyle w:val="Compact"/>
      </w:pPr>
      <w:r>
        <w:rPr>
          <w:bCs/>
          <w:b/>
        </w:rPr>
        <w:t xml:space="preserve">Product Positioning:</w:t>
      </w:r>
      <w:r>
        <w:t xml:space="preserve"> </w:t>
      </w:r>
      <w:r>
        <w:t xml:space="preserve">Research identified a critical gap in post-stroke rehabilitation services within Tashkent's public hospitals. This insight directly informed our sales pitch for a new neurotech device, resulting in three pilot programs worth $185,000 in Q3.</w:t>
      </w:r>
    </w:p>
    <w:bookmarkEnd w:id="22"/>
    <w:bookmarkStart w:id="23" w:name="Xac976db54d7b5c75f4590e25652ebe0a280893a"/>
    <w:p>
      <w:pPr>
        <w:pStyle w:val="Heading2"/>
      </w:pPr>
      <w:r>
        <w:t xml:space="preserve">IV. Local Market Challenges &amp; Research-Driven Solutions (Tashkent Focus)</w:t>
      </w:r>
    </w:p>
    <w:p>
      <w:pPr>
        <w:pStyle w:val="FirstParagraph"/>
      </w:pPr>
      <w:r>
        <w:t xml:space="preserve">Tashkent's market presents unique hurdles: fragmented procurement systems, language barriers (Uzbek/Russian/English), and legacy reliance on state-distributed generics. Our Medical Researchers have developed tailored solutions:</w:t>
      </w:r>
    </w:p>
    <w:p>
      <w:pPr>
        <w:numPr>
          <w:ilvl w:val="0"/>
          <w:numId w:val="1002"/>
        </w:numPr>
        <w:pStyle w:val="Compact"/>
      </w:pPr>
      <w:r>
        <w:rPr>
          <w:bCs/>
          <w:b/>
        </w:rPr>
        <w:t xml:space="preserve">Regulatory Navigation:</w:t>
      </w:r>
      <w:r>
        <w:t xml:space="preserve"> </w:t>
      </w:r>
      <w:r>
        <w:t xml:space="preserve">Collaborated with local Ministry of Health advisors (via Tashkent-based research partnerships) to align product data with Uzbekistan's 2023 "Drug Quality Assurance" guidelines, shortening sales cycles by 30%.</w:t>
      </w:r>
    </w:p>
    <w:p>
      <w:pPr>
        <w:numPr>
          <w:ilvl w:val="0"/>
          <w:numId w:val="1002"/>
        </w:numPr>
        <w:pStyle w:val="Compact"/>
      </w:pPr>
      <w:r>
        <w:rPr>
          <w:bCs/>
          <w:b/>
        </w:rPr>
        <w:t xml:space="preserve">Cultural Intelligence:</w:t>
      </w:r>
      <w:r>
        <w:t xml:space="preserve"> </w:t>
      </w:r>
      <w:r>
        <w:t xml:space="preserve">Medical Researchers conducted ethnographic studies in Tashkent neighborhoods (e.g., Chilanzar, Sergeli districts), revealing preferences for patient education materials in Uzbek. This led to localized marketing kits that boosted client trust and repeat purchases by 22%.</w:t>
      </w:r>
    </w:p>
    <w:p>
      <w:pPr>
        <w:numPr>
          <w:ilvl w:val="0"/>
          <w:numId w:val="1002"/>
        </w:numPr>
        <w:pStyle w:val="Compact"/>
      </w:pPr>
      <w:r>
        <w:rPr>
          <w:bCs/>
          <w:b/>
        </w:rPr>
        <w:t xml:space="preserve">Data Localization:</w:t>
      </w:r>
      <w:r>
        <w:t xml:space="preserve"> </w:t>
      </w:r>
      <w:r>
        <w:t xml:space="preserve">Established a Tashkent-based data hub analyzing anonymized treatment patterns across 12 city hospitals—providing real-time sales intelligence unavailable through external vendors.</w:t>
      </w:r>
    </w:p>
    <w:bookmarkEnd w:id="23"/>
    <w:bookmarkStart w:id="24" w:name="v.-financial-impact-growth-projections"/>
    <w:p>
      <w:pPr>
        <w:pStyle w:val="Heading2"/>
      </w:pPr>
      <w:r>
        <w:t xml:space="preserve">V. Financial Impact &amp; Growth Projections</w:t>
      </w:r>
    </w:p>
    <w:p>
      <w:pPr>
        <w:pStyle w:val="FirstParagraph"/>
      </w:pPr>
      <w:r>
        <w:t xml:space="preserve">Medical Researcher activities in Uzbekistan Tashkent directly contributed to $985,000 in Q3 revenue (41% of GHS Central Asia sales), exceeding targets by 18%. The cost-to-revenue ratio for researcher-led initiatives was 2.3:1, significantly better than the regional average of 4:1. Looking ahead, we project:</w:t>
      </w:r>
    </w:p>
    <w:p>
      <w:pPr>
        <w:numPr>
          <w:ilvl w:val="0"/>
          <w:numId w:val="1003"/>
        </w:numPr>
        <w:pStyle w:val="Compact"/>
      </w:pPr>
      <w:r>
        <w:t xml:space="preserve">25% revenue growth in Tashkent through expanded medical research partnerships with the Tashkent State Medical University by Q1 2024.</w:t>
      </w:r>
    </w:p>
    <w:p>
      <w:pPr>
        <w:numPr>
          <w:ilvl w:val="0"/>
          <w:numId w:val="1003"/>
        </w:numPr>
        <w:pStyle w:val="Compact"/>
      </w:pPr>
      <w:r>
        <w:t xml:space="preserve">New sales pipeline from research identifying a $3.7M market opportunity for cardiovascular diagnostics in urban Uzbekistan, with 60% of targets concentrated in Tashkent.</w:t>
      </w:r>
    </w:p>
    <w:bookmarkEnd w:id="24"/>
    <w:bookmarkStart w:id="25" w:name="X72814f3e6889bc0fa207be9fffae26d450b4d7b"/>
    <w:p>
      <w:pPr>
        <w:pStyle w:val="Heading2"/>
      </w:pPr>
      <w:r>
        <w:t xml:space="preserve">VI. Strategic Recommendations for Uzbekistan Tashkent</w:t>
      </w:r>
    </w:p>
    <w:p>
      <w:pPr>
        <w:pStyle w:val="FirstParagraph"/>
      </w:pPr>
      <w:r>
        <w:t xml:space="preserve">To sustain momentum, this Sales Report recommends:</w:t>
      </w:r>
    </w:p>
    <w:p>
      <w:pPr>
        <w:numPr>
          <w:ilvl w:val="0"/>
          <w:numId w:val="1004"/>
        </w:numPr>
        <w:pStyle w:val="Compact"/>
      </w:pPr>
      <w:r>
        <w:rPr>
          <w:bCs/>
          <w:b/>
        </w:rPr>
        <w:t xml:space="preserve">Scale Medical Researcher Network:</w:t>
      </w:r>
      <w:r>
        <w:t xml:space="preserve"> </w:t>
      </w:r>
      <w:r>
        <w:t xml:space="preserve">Hire 3 additional researchers focused on Tashkent's emerging specialty centers (e.g., the new Tashkent Heart Institute).</w:t>
      </w:r>
    </w:p>
    <w:p>
      <w:pPr>
        <w:numPr>
          <w:ilvl w:val="0"/>
          <w:numId w:val="1004"/>
        </w:numPr>
        <w:pStyle w:val="Compact"/>
      </w:pPr>
      <w:r>
        <w:rPr>
          <w:bCs/>
          <w:b/>
        </w:rPr>
        <w:t xml:space="preserve">Integrate with Government Initiatives:</w:t>
      </w:r>
      <w:r>
        <w:t xml:space="preserve"> </w:t>
      </w:r>
      <w:r>
        <w:t xml:space="preserve">Partner with the Uzbekistan Healthcare Development Fund (based in Tashkent) to co-fund research on priority diseases like tuberculosis.</w:t>
      </w:r>
    </w:p>
    <w:p>
      <w:pPr>
        <w:numPr>
          <w:ilvl w:val="0"/>
          <w:numId w:val="1004"/>
        </w:numPr>
        <w:pStyle w:val="Compact"/>
      </w:pPr>
      <w:r>
        <w:rPr>
          <w:bCs/>
          <w:b/>
        </w:rPr>
        <w:t xml:space="preserve">Cultural Training Investment:</w:t>
      </w:r>
      <w:r>
        <w:t xml:space="preserve"> </w:t>
      </w:r>
      <w:r>
        <w:t xml:space="preserve">Allocate 10% of Q4 sales budget to Uzbek language and cultural competency training for all field researchers operating in Tashkent.</w:t>
      </w:r>
    </w:p>
    <w:bookmarkEnd w:id="25"/>
    <w:bookmarkStart w:id="26" w:name="vii.-conclusion"/>
    <w:p>
      <w:pPr>
        <w:pStyle w:val="Heading2"/>
      </w:pPr>
      <w:r>
        <w:t xml:space="preserve">VII. Conclusion</w:t>
      </w:r>
    </w:p>
    <w:p>
      <w:pPr>
        <w:pStyle w:val="FirstParagraph"/>
      </w:pPr>
      <w:r>
        <w:t xml:space="preserve">The success of our Medical Researcher team in Uzbekistan Tashkent demonstrates that healthcare sales cannot be transactional—it must be rooted in credible, locally-generated evidence. This Sales Report confirms that when medical research is integrated into the commercial strategy, it transforms market entry challenges into growth opportunities. As Uzbekistan accelerates its healthcare reforms under President Shavkat Mirziyoyev's leadership, our Tashkent-based Medical Researchers will remain indispensable for driving sustainable sales performance across the Central Asian market. Their work isn't just about gathering data; it's about building trust within the heart of Uzbekistan’s medical community—the city of Tashkent.</w:t>
      </w:r>
    </w:p>
    <w:p>
      <w:pPr>
        <w:pStyle w:val="BodyText"/>
      </w:pPr>
      <w:r>
        <w:rPr>
          <w:bCs/>
          <w:b/>
        </w:rPr>
        <w:t xml:space="preserve">Prepared By:</w:t>
      </w:r>
      <w:r>
        <w:t xml:space="preserve"> </w:t>
      </w:r>
      <w:r>
        <w:t xml:space="preserve">Global Healthcare Solutions Sales Intelligence Division</w:t>
      </w:r>
      <w:r>
        <w:br/>
      </w:r>
      <w:r>
        <w:rPr>
          <w:bCs/>
          <w:b/>
        </w:rPr>
        <w:t xml:space="preserve">Contact:</w:t>
      </w:r>
      <w:r>
        <w:t xml:space="preserve"> </w:t>
      </w:r>
      <w:r>
        <w:t xml:space="preserve">sales.research@ghs-centralasia.com | +998 71 234 5678 (Tashkent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Medical Researcher Sales Report | Q3 2023</dc:title>
  <dc:creator/>
  <cp:keywords/>
  <dcterms:created xsi:type="dcterms:W3CDTF">2026-07-24T13:42:58Z</dcterms:created>
  <dcterms:modified xsi:type="dcterms:W3CDTF">2026-07-24T13:42:58Z</dcterms:modified>
</cp:coreProperties>
</file>

<file path=docProps/custom.xml><?xml version="1.0" encoding="utf-8"?>
<Properties xmlns="http://schemas.openxmlformats.org/officeDocument/2006/custom-properties" xmlns:vt="http://schemas.openxmlformats.org/officeDocument/2006/docPropsVTypes"/>
</file>