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Venezuela</w:t>
      </w:r>
      <w:r>
        <w:t xml:space="preserve"> </w:t>
      </w:r>
      <w:r>
        <w:t xml:space="preserve">Caracas</w:t>
      </w:r>
      <w:r>
        <w:t xml:space="preserve"> </w:t>
      </w:r>
      <w:r>
        <w:t xml:space="preserve">Medical</w:t>
      </w:r>
      <w:r>
        <w:t xml:space="preserve"> </w:t>
      </w:r>
      <w:r>
        <w:t xml:space="preserve">Researcher</w:t>
      </w:r>
      <w:r>
        <w:t xml:space="preserve"> </w:t>
      </w:r>
      <w:r>
        <w:t xml:space="preserve">Sales</w:t>
      </w:r>
      <w:r>
        <w:t xml:space="preserve"> </w:t>
      </w:r>
      <w:r>
        <w:t xml:space="preserve">Report</w:t>
      </w:r>
    </w:p>
    <w:bookmarkStart w:id="27" w:name="Xb3c0da41790cec2d940f87876ac5aa6088aebd7"/>
    <w:p>
      <w:pPr>
        <w:pStyle w:val="Heading1"/>
      </w:pPr>
      <w:r>
        <w:t xml:space="preserve">Sales Report: Strategic Impact of Medical Researcher Performance in Venezuela Caracas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Healthcare Executive Board</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comprehensive Sales Report details the critical contributions of our Medical Researcher team operating within Venezuela Caracas to the overall sales performance of our pharmaceutical portfolio. Despite significant economic and logistical challenges in the Venezuelan market, strategic deployment of Medical Researchers in Caracas has directly driven a 22% year-over-year increase in product adoption rates for key therapeutic categories. The report confirms that targeted medical research initiatives led by local experts are now central to our sales strategy within Venezuela Caracas, generating $14.7M in incremental revenue across oncology, cardiovascular, and diabetes therapeutics during the reporting period.</w:t>
      </w:r>
    </w:p>
    <w:bookmarkEnd w:id="20"/>
    <w:bookmarkStart w:id="21" w:name="Xc39b7603f52aca78af8c07e5a2e9dac3d4e5d66"/>
    <w:p>
      <w:pPr>
        <w:pStyle w:val="Heading2"/>
      </w:pPr>
      <w:r>
        <w:t xml:space="preserve">II. Market Context: Venezuela Caracas Dynamics</w:t>
      </w:r>
    </w:p>
    <w:p>
      <w:pPr>
        <w:pStyle w:val="FirstParagraph"/>
      </w:pPr>
      <w:r>
        <w:t xml:space="preserve">The healthcare landscape in Venezuela Caracas presents unique complexities requiring specialized medical research capabilities. With 73% of hospitals operating below capacity due to supply chain disruptions (Ministry of Health, Q3 2023), our Medical Researchers have pivoted from traditional market access roles to become frontline solution architects. In Caracas specifically, where urban healthcare infrastructure has deteriorated by 41% since 2018 (World Health Organization), our local Medical Researchers have established unprecedented trust with clinicians through evidence-based research initiatives. This localized approach directly addresses the critical gap in scientific validation that previously hindered product adoption across Venezuela's most populous city.</w:t>
      </w:r>
    </w:p>
    <w:bookmarkEnd w:id="21"/>
    <w:bookmarkStart w:id="22" w:name="Xd6a7b1742394a4521e54b29dcc4795c6159fdcf"/>
    <w:p>
      <w:pPr>
        <w:pStyle w:val="Heading2"/>
      </w:pPr>
      <w:r>
        <w:t xml:space="preserve">III. Medical Researcher Impact on Sales Performance</w:t>
      </w:r>
    </w:p>
    <w:p>
      <w:pPr>
        <w:pStyle w:val="FirstParagraph"/>
      </w:pPr>
      <w:r>
        <w:t xml:space="preserve">The integration of Medical Researchers into our sales ecosystem has fundamentally transformed how we engage with healthcare providers in Caracas. Unlike traditional pharmaceutical representatives, our Medical Researchers:</w:t>
      </w:r>
    </w:p>
    <w:p>
      <w:pPr>
        <w:numPr>
          <w:ilvl w:val="0"/>
          <w:numId w:val="1001"/>
        </w:numPr>
        <w:pStyle w:val="Compact"/>
      </w:pPr>
      <w:r>
        <w:rPr>
          <w:bCs/>
          <w:b/>
        </w:rPr>
        <w:t xml:space="preserve">Conduct Clinical Evidence Generation:</w:t>
      </w:r>
      <w:r>
        <w:t xml:space="preserve"> </w:t>
      </w:r>
      <w:r>
        <w:t xml:space="preserve">Executed 15 local studies validating drug efficacy for Venezuelan patient populations (e.g., cardiovascular drugs under high-salt diets), directly addressing physician skepticism that previously reduced prescription rates by 37%.</w:t>
      </w:r>
    </w:p>
    <w:p>
      <w:pPr>
        <w:numPr>
          <w:ilvl w:val="0"/>
          <w:numId w:val="1001"/>
        </w:numPr>
        <w:pStyle w:val="Compact"/>
      </w:pPr>
      <w:r>
        <w:rPr>
          <w:bCs/>
          <w:b/>
        </w:rPr>
        <w:t xml:space="preserve">Facilitate Scientific Dialogues:</w:t>
      </w:r>
      <w:r>
        <w:t xml:space="preserve"> </w:t>
      </w:r>
      <w:r>
        <w:t xml:space="preserve">Led 282 peer-to-peer medical education sessions in Caracas hospitals, converting 68% of skeptical physicians to product advocates – a 5x increase over standard sales tactics.</w:t>
      </w:r>
    </w:p>
    <w:p>
      <w:pPr>
        <w:numPr>
          <w:ilvl w:val="0"/>
          <w:numId w:val="1001"/>
        </w:numPr>
        <w:pStyle w:val="Compact"/>
      </w:pPr>
      <w:r>
        <w:rPr>
          <w:bCs/>
          <w:b/>
        </w:rPr>
        <w:t xml:space="preserve">Drive Real-World Evidence (RWE):</w:t>
      </w:r>
      <w:r>
        <w:t xml:space="preserve"> </w:t>
      </w:r>
      <w:r>
        <w:t xml:space="preserve">Developed the first Venezuela-specific RWE database on diabetes management, which was referenced in 92% of successful hospital formulary approvals across Caracas.</w:t>
      </w:r>
    </w:p>
    <w:p>
      <w:pPr>
        <w:pStyle w:val="FirstParagraph"/>
      </w:pPr>
      <w:r>
        <w:t xml:space="preserve">Specifically, Medical Researchers in Caracas contributed to a 34% growth in market share for our oncology portfolio – outperforming the national average by 2.8x during Q3 2023. Their work on localized clinical protocols reduced physician onboarding time from 18 to 5 business days, directly accelerating prescription volumes.</w:t>
      </w:r>
    </w:p>
    <w:bookmarkEnd w:id="22"/>
    <w:bookmarkStart w:id="23" w:name="X61dfff196abed7493c1f8341e9a406943975601"/>
    <w:p>
      <w:pPr>
        <w:pStyle w:val="Heading2"/>
      </w:pPr>
      <w:r>
        <w:t xml:space="preserve">IV. Venezuela Caracas-Specific Sales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(Caracas)</w:t>
            </w:r>
          </w:p>
        </w:tc>
        <w:tc>
          <w:tcPr/>
          <w:p>
            <w:pPr>
              <w:pStyle w:val="Compact"/>
              <w:jc w:val="left"/>
            </w:pPr>
            <w:r>
              <w:t xml:space="preserve">YTD 2023 (Caracas)</w:t>
            </w:r>
          </w:p>
        </w:tc>
        <w:tc>
          <w:tcPr/>
          <w:p>
            <w:pPr>
              <w:pStyle w:val="Compact"/>
              <w:jc w:val="left"/>
            </w:pPr>
            <w:r>
              <w:t xml:space="preserve">% Change vs. YTD 2022</w:t>
            </w:r>
          </w:p>
        </w:tc>
      </w:tr>
      <w:tr>
        <w:tc>
          <w:tcPr/>
          <w:p>
            <w:pPr>
              <w:pStyle w:val="Compact"/>
              <w:jc w:val="left"/>
            </w:pPr>
            <w:r>
              <w:t xml:space="preserve">Physician Adoption Rate</w:t>
            </w:r>
          </w:p>
        </w:tc>
        <w:tc>
          <w:tcPr/>
          <w:p>
            <w:pPr>
              <w:pStyle w:val="Compact"/>
              <w:jc w:val="left"/>
            </w:pPr>
            <w:r>
              <w:t xml:space="preserve">67%</w:t>
            </w:r>
          </w:p>
        </w:tc>
        <w:tc>
          <w:tcPr/>
          <w:p>
            <w:pPr>
              <w:pStyle w:val="Compact"/>
              <w:jc w:val="left"/>
            </w:pPr>
            <w:r>
              <w:t xml:space="preserve">59%</w:t>
            </w:r>
          </w:p>
        </w:tc>
        <w:tc>
          <w:tcPr/>
          <w:p>
            <w:pPr>
              <w:pStyle w:val="Compact"/>
              <w:jc w:val="left"/>
            </w:pPr>
            <w:r>
              <w:t xml:space="preserve">+13.6% ↑</w:t>
            </w:r>
          </w:p>
        </w:tc>
      </w:tr>
      <w:tr>
        <w:tc>
          <w:tcPr/>
          <w:p>
            <w:pPr>
              <w:pStyle w:val="Compact"/>
              <w:jc w:val="left"/>
            </w:pPr>
            <w:r>
              <w:t xml:space="preserve">Average Prescription Volume/Provider</w:t>
            </w:r>
          </w:p>
        </w:tc>
        <w:tc>
          <w:tcPr/>
          <w:p>
            <w:pPr>
              <w:pStyle w:val="Compact"/>
              <w:jc w:val="left"/>
            </w:pPr>
            <w:r>
              <w:t xml:space="preserve">28 units/month</w:t>
            </w:r>
          </w:p>
        </w:tc>
        <w:tc>
          <w:tcPr/>
          <w:p>
            <w:pPr>
              <w:pStyle w:val="Compact"/>
              <w:jc w:val="left"/>
            </w:pPr>
            <w:r>
              <w:t xml:space="preserve">21 units/month</w:t>
            </w:r>
          </w:p>
        </w:tc>
        <w:tc>
          <w:tcPr/>
          <w:p>
            <w:pPr>
              <w:pStyle w:val="Compact"/>
              <w:jc w:val="left"/>
            </w:pPr>
            <w:r>
              <w:t xml:space="preserve">+33.3% ↑</w:t>
            </w:r>
          </w:p>
        </w:tc>
      </w:tr>
      <w:tr>
        <w:tc>
          <w:tcPr/>
          <w:p>
            <w:pPr>
              <w:pStyle w:val="Compact"/>
              <w:jc w:val="left"/>
            </w:pPr>
            <w:r>
              <w:t xml:space="preserve">Market Share (Oncology)</w:t>
            </w:r>
          </w:p>
        </w:tc>
        <w:tc>
          <w:tcPr/>
          <w:p>
            <w:pPr>
              <w:pStyle w:val="Compact"/>
              <w:jc w:val="left"/>
            </w:pPr>
            <w:r>
              <w:t xml:space="preserve">19.4%</w:t>
            </w:r>
          </w:p>
        </w:tc>
        <w:tc>
          <w:tcPr/>
          <w:p>
            <w:pPr>
              <w:pStyle w:val="Compact"/>
              <w:jc w:val="left"/>
            </w:pPr>
            <w:r>
              <w:t xml:space="preserve">15.2%</w:t>
            </w:r>
          </w:p>
        </w:tc>
        <w:tc>
          <w:tcPr/>
          <w:p>
            <w:pPr>
              <w:pStyle w:val="Compact"/>
              <w:jc w:val="left"/>
            </w:pPr>
            <w:r>
              <w:t xml:space="preserve">+27.6% ↑</w:t>
            </w:r>
          </w:p>
        </w:tc>
      </w:tr>
      <w:tr>
        <w:tc>
          <w:tcPr/>
          <w:p>
            <w:pPr>
              <w:pStyle w:val="Compact"/>
              <w:jc w:val="left"/>
            </w:pPr>
            <w:r>
              <w:t xml:space="preserve">R&amp;D-Driven Sales Contribution</w:t>
            </w:r>
          </w:p>
        </w:tc>
        <w:tc>
          <w:tcPr/>
          <w:p>
            <w:pPr>
              <w:pStyle w:val="Compact"/>
              <w:jc w:val="left"/>
            </w:pPr>
            <w:r>
              <w:t xml:space="preserve">$8.2M</w:t>
            </w:r>
          </w:p>
        </w:tc>
        <w:tc>
          <w:tcPr/>
          <w:p>
            <w:pPr>
              <w:pStyle w:val="Compact"/>
              <w:jc w:val="left"/>
            </w:pPr>
            <w:r>
              <w:t xml:space="preserve">$5.4M</w:t>
            </w:r>
          </w:p>
        </w:tc>
        <w:tc>
          <w:tcPr/>
          <w:p>
            <w:pPr>
              <w:pStyle w:val="Compact"/>
              <w:jc w:val="left"/>
            </w:pPr>
            <w:r>
              <w:t xml:space="preserve">+51.9% ↑</w:t>
            </w:r>
          </w:p>
        </w:tc>
      </w:tr>
    </w:tbl>
    <w:bookmarkEnd w:id="23"/>
    <w:bookmarkStart w:id="24" w:name="X38ee84c8fa49f51a50b05307cd14caf8bac6eda"/>
    <w:p>
      <w:pPr>
        <w:pStyle w:val="Heading2"/>
      </w:pPr>
      <w:r>
        <w:t xml:space="preserve">V. Unique Challenges in Venezuela Caracas and Medical Researcher Solutions</w:t>
      </w:r>
    </w:p>
    <w:p>
      <w:pPr>
        <w:pStyle w:val="FirstParagraph"/>
      </w:pPr>
      <w:r>
        <w:t xml:space="preserve">Operating within Venezuela Caracas demands innovative solutions that our Medical Researchers have consistently delivered:</w:t>
      </w:r>
    </w:p>
    <w:p>
      <w:pPr>
        <w:numPr>
          <w:ilvl w:val="0"/>
          <w:numId w:val="1002"/>
        </w:numPr>
        <w:pStyle w:val="Compact"/>
      </w:pPr>
      <w:r>
        <w:rPr>
          <w:bCs/>
          <w:b/>
        </w:rPr>
        <w:t xml:space="preserve">Currency Volatility Strategy:</w:t>
      </w:r>
      <w:r>
        <w:t xml:space="preserve"> </w:t>
      </w:r>
      <w:r>
        <w:t xml:space="preserve">Developed adaptive pricing models using local economic indicators (e.g., black-market exchange rates), increasing product accessibility by 44% while maintaining profitability.</w:t>
      </w:r>
    </w:p>
    <w:p>
      <w:pPr>
        <w:numPr>
          <w:ilvl w:val="0"/>
          <w:numId w:val="1002"/>
        </w:numPr>
        <w:pStyle w:val="Compact"/>
      </w:pPr>
      <w:r>
        <w:rPr>
          <w:bCs/>
          <w:b/>
        </w:rPr>
        <w:t xml:space="preserve">Supply Chain Disruptions:</w:t>
      </w:r>
      <w:r>
        <w:t xml:space="preserve"> </w:t>
      </w:r>
      <w:r>
        <w:t xml:space="preserve">Created "Research-Driven Stockpiling" protocols using predictive analytics on physician prescription patterns, reducing stockouts by 63% in Caracas hospitals during critical periods.</w:t>
      </w:r>
    </w:p>
    <w:p>
      <w:pPr>
        <w:numPr>
          <w:ilvl w:val="0"/>
          <w:numId w:val="1002"/>
        </w:numPr>
        <w:pStyle w:val="Compact"/>
      </w:pPr>
      <w:r>
        <w:rPr>
          <w:bCs/>
          <w:b/>
        </w:rPr>
        <w:t xml:space="preserve">Clinical Trust Deficit:</w:t>
      </w:r>
      <w:r>
        <w:t xml:space="preserve"> </w:t>
      </w:r>
      <w:r>
        <w:t xml:space="preserve">Launched the Caracas Medical Evidence Network (CMEN), a peer-reviewed digital platform where local physicians publish Venezuela-specific research – attracting 1,200+ clinicians as active participants within 6 months.</w:t>
      </w:r>
    </w:p>
    <w:bookmarkEnd w:id="24"/>
    <w:bookmarkStart w:id="25" w:name="X0aa9be596facfee249fa0048d5c5c264e523ed9"/>
    <w:p>
      <w:pPr>
        <w:pStyle w:val="Heading2"/>
      </w:pPr>
      <w:r>
        <w:t xml:space="preserve">VI. Strategic Recommendations for Venezuela Caracas Market</w:t>
      </w:r>
    </w:p>
    <w:p>
      <w:pPr>
        <w:pStyle w:val="FirstParagraph"/>
      </w:pPr>
      <w:r>
        <w:t xml:space="preserve">Based on this Sales Report, we recommend immediate action to scale Medical Researcher impact across Venezuela Caracas:</w:t>
      </w:r>
    </w:p>
    <w:p>
      <w:pPr>
        <w:numPr>
          <w:ilvl w:val="0"/>
          <w:numId w:val="1003"/>
        </w:numPr>
        <w:pStyle w:val="Compact"/>
      </w:pPr>
      <w:r>
        <w:rPr>
          <w:bCs/>
          <w:b/>
        </w:rPr>
        <w:t xml:space="preserve">Expand Medical Researcher Capacity:</w:t>
      </w:r>
      <w:r>
        <w:t xml:space="preserve"> </w:t>
      </w:r>
      <w:r>
        <w:t xml:space="preserve">Allocate $1.8M to hire 3 additional specialized researchers focused exclusively on Caracas' top therapeutic needs (oncology, neurology, infectious diseases), projected to generate $5.2M in incremental sales by Q4 2024.</w:t>
      </w:r>
    </w:p>
    <w:p>
      <w:pPr>
        <w:numPr>
          <w:ilvl w:val="0"/>
          <w:numId w:val="1003"/>
        </w:numPr>
        <w:pStyle w:val="Compact"/>
      </w:pPr>
      <w:r>
        <w:rPr>
          <w:bCs/>
          <w:b/>
        </w:rPr>
        <w:t xml:space="preserve">Integrate AI-Powered Research Tools:</w:t>
      </w:r>
      <w:r>
        <w:t xml:space="preserve"> </w:t>
      </w:r>
      <w:r>
        <w:t xml:space="preserve">Implement localized analytics software for Medical Researchers to identify unmet clinical needs within Caracas' specific demographic patterns (e.g., high hypertension prevalence in low-income districts), expected to accelerate evidence generation by 50%.</w:t>
      </w:r>
    </w:p>
    <w:p>
      <w:pPr>
        <w:numPr>
          <w:ilvl w:val="0"/>
          <w:numId w:val="1003"/>
        </w:numPr>
        <w:pStyle w:val="Compact"/>
      </w:pPr>
      <w:r>
        <w:rPr>
          <w:bCs/>
          <w:b/>
        </w:rPr>
        <w:t xml:space="preserve">Create Venezuela Caracas Evidence Hub:</w:t>
      </w:r>
      <w:r>
        <w:t xml:space="preserve"> </w:t>
      </w:r>
      <w:r>
        <w:t xml:space="preserve">Establish a permanent research facility within Caracas city limits co-located with our sales operations center, enabling real-time collaboration between Medical Researchers and sales teams – projected to reduce time-to-market for new products by 38%.</w:t>
      </w:r>
    </w:p>
    <w:bookmarkEnd w:id="25"/>
    <w:bookmarkStart w:id="26" w:name="vii.-conclusion"/>
    <w:p>
      <w:pPr>
        <w:pStyle w:val="Heading2"/>
      </w:pPr>
      <w:r>
        <w:t xml:space="preserve">VII. Conclusion</w:t>
      </w:r>
    </w:p>
    <w:p>
      <w:pPr>
        <w:pStyle w:val="FirstParagraph"/>
      </w:pPr>
      <w:r>
        <w:t xml:space="preserve">This Sales Report conclusively demonstrates that the Medical Researcher role is no longer a support function in Venezuela Caracas – it has become our primary revenue engine. The strategic deployment of locally embedded Medical Researchers has transformed our market approach from product-centric to evidence-driven, directly overcoming Venezuela's unique healthcare barriers. As evidenced by 2023 results, every $1 invested in Medical Researcher activities generated $3.87 in sales revenue within Caracas – outperforming all other sales channels by a factor of 4.1.</w:t>
      </w:r>
    </w:p>
    <w:p>
      <w:pPr>
        <w:pStyle w:val="BodyText"/>
      </w:pPr>
      <w:r>
        <w:t xml:space="preserve">Looking ahead, we recommend institutionalizing the Medical Researcher model as Venezuela's core sales strategy. In a market where clinical trust is the most valuable currency, our Caracas Medical Researchers have proven they are not just researchers – they are revenue drivers. The continued success of this Sales Report in Venezuela Caracas depends on doubling down on medical evidence generation as our foundational sales philosophy, ensuring sustainable growth despite ongoing economic volatility.</w:t>
      </w:r>
    </w:p>
    <w:p>
      <w:pPr>
        <w:pStyle w:val="BodyText"/>
      </w:pPr>
      <w:r>
        <w:rPr>
          <w:bCs/>
          <w:b/>
        </w:rPr>
        <w:t xml:space="preserve">Prepared by:</w:t>
      </w:r>
      <w:r>
        <w:t xml:space="preserve"> </w:t>
      </w:r>
      <w:r>
        <w:t xml:space="preserve">Global Medical Affairs &amp; Sales Strategy Division</w:t>
      </w:r>
      <w:r>
        <w:br/>
      </w:r>
      <w:r>
        <w:rPr>
          <w:bCs/>
          <w:b/>
        </w:rPr>
        <w:t xml:space="preserve">For further details regarding Venezuela Caracas Medical Researcher impact metrics, contact:</w:t>
      </w:r>
      <w:r>
        <w:t xml:space="preserve"> </w:t>
      </w:r>
      <w:r>
        <w:t xml:space="preserve">Dr. Elena Morales, Head of Latin American Medical Affairs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Venezuela Caracas Medical Researcher Sales Report</dc:title>
  <dc:creator/>
  <dc:language>en</dc:language>
  <cp:keywords/>
  <dcterms:created xsi:type="dcterms:W3CDTF">2026-07-25T01:05:45Z</dcterms:created>
  <dcterms:modified xsi:type="dcterms:W3CDTF">2026-07-25T01:05:45Z</dcterms:modified>
</cp:coreProperties>
</file>

<file path=docProps/custom.xml><?xml version="1.0" encoding="utf-8"?>
<Properties xmlns="http://schemas.openxmlformats.org/officeDocument/2006/custom-properties" xmlns:vt="http://schemas.openxmlformats.org/officeDocument/2006/docPropsVTypes"/>
</file>