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27" w:name="X2b7b008affeabed97012a2519e43c9798945a21"/>
    <w:p>
      <w:pPr>
        <w:pStyle w:val="Heading1"/>
      </w:pPr>
      <w:r>
        <w:t xml:space="preserve">Sales Report: Medical Researcher Recruitment Performance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Asia Pacific Leadership</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recruitment performance of Medical Researcher positions within our strategic operations in Vietnam Ho Chi Minh City (HCMC), the economic and healthcare innovation hub of Southeast Asia. Despite regional talent competition and evolving regulatory landscapes, our HCMC medical research recruitment initiative achieved a 38% increase in qualified candidates compared to Q2 2023, directly supporting the expansion of our clinical trial infrastructure across Vietnam. This report demonstrates how targeted Medical Researcher acquisition strategies are driving market growth in Vietnam's most dynamic metropolitan center.</w:t>
      </w:r>
    </w:p>
    <w:bookmarkEnd w:id="20"/>
    <w:bookmarkStart w:id="21" w:name="X2ccf974253b05a39cbddc97d0b18d3cb652a20b"/>
    <w:p>
      <w:pPr>
        <w:pStyle w:val="Heading2"/>
      </w:pPr>
      <w:r>
        <w:t xml:space="preserve">II. Market Context: Vietnam Ho Chi Minh City as a Strategic Hub</w:t>
      </w:r>
    </w:p>
    <w:p>
      <w:pPr>
        <w:pStyle w:val="FirstParagraph"/>
      </w:pPr>
      <w:r>
        <w:t xml:space="preserve">Ho Chi Minh City represents 23% of Vietnam's total GDP and houses 18 of the nation's top pharmaceutical R&amp;D centers, including our primary operational base at Saigon Biotech Park. The city's National Medical Research Institute (NMRI) has recently allocated $450 million for public-private medical research partnerships – creating unprecedented demand for skilled Medical Researchers. As Vietnam accelerates its healthcare transformation under the 2030 National Strategy on Health Innovation, HCMC has become the epicenter of clinical trial execution with 67% of all phase III trials in Southeast Asia conducted within its metropolitan boundaries.</w:t>
      </w:r>
    </w:p>
    <w:p>
      <w:pPr>
        <w:pStyle w:val="BodyText"/>
      </w:pPr>
      <w:r>
        <w:t xml:space="preserve">The competitive talent landscape necessitates specialized recruitment strategies. Our HCMC Medical Researcher sales pipeline targets graduates from Ho Chi Minh University of Medicine and Pharmacy (HUMS) and the International School of Medicine – institutions producing 42% of Vietnam's medical research talent. Localized compensation packages now include housing allowances (25% above standard rates in HCMC) to counter the city's high cost-of-living, directly addressing our core recruitment challenges.</w:t>
      </w:r>
    </w:p>
    <w:bookmarkEnd w:id="21"/>
    <w:bookmarkStart w:id="22" w:name="X7620346403d35c86177cf73293fbec64f974039"/>
    <w:p>
      <w:pPr>
        <w:pStyle w:val="Heading2"/>
      </w:pPr>
      <w:r>
        <w:t xml:space="preserve">III. Medical Researcher Recruitment Performance Metrics</w:t>
      </w:r>
    </w:p>
    <w:p>
      <w:pPr>
        <w:pStyle w:val="FirstParagraph"/>
      </w:pPr>
      <w:r>
        <w:t xml:space="preserve">Key Metric</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Qualified Medical Researcher Candidates (HCMC)</w:t>
      </w:r>
    </w:p>
    <w:p>
      <w:pPr>
        <w:pStyle w:val="BodyText"/>
      </w:pPr>
      <w:r>
        <w:t xml:space="preserve">87</w:t>
      </w:r>
    </w:p>
    <w:p>
      <w:pPr>
        <w:pStyle w:val="BodyText"/>
      </w:pPr>
      <w:r>
        <w:t xml:space="preserve">120</w:t>
      </w:r>
    </w:p>
    <w:p>
      <w:pPr>
        <w:pStyle w:val="BodyText"/>
      </w:pPr>
      <w:r>
        <w:t xml:space="preserve">+38%</w:t>
      </w:r>
    </w:p>
    <w:p>
      <w:pPr>
        <w:pStyle w:val="BodyText"/>
      </w:pPr>
      <w:r>
        <w:t xml:space="preserve">Average Time-to-Hire (Days)</w:t>
      </w:r>
    </w:p>
    <w:p>
      <w:pPr>
        <w:pStyle w:val="BodyText"/>
      </w:pPr>
      <w:r>
        <w:t xml:space="preserve">45</w:t>
      </w:r>
      <w:r>
        <w:rPr>
          <w:bCs/>
          <w:b/>
        </w:rPr>
        <w:t xml:space="preserve">32</w:t>
      </w:r>
    </w:p>
    <w:p>
      <w:pPr>
        <w:pStyle w:val="BodyText"/>
      </w:pPr>
      <w:r>
        <w:t xml:space="preserve">-29%</w:t>
      </w:r>
    </w:p>
    <w:p>
      <w:pPr>
        <w:pStyle w:val="BodyText"/>
      </w:pPr>
      <w:r>
        <w:t xml:space="preserve">Candidate Retention Rate (6 months)</w:t>
      </w:r>
    </w:p>
    <w:p>
      <w:pPr>
        <w:pStyle w:val="BodyText"/>
      </w:pPr>
      <w:r>
        <w:t xml:space="preserve">76%</w:t>
      </w:r>
    </w:p>
    <w:p>
      <w:pPr>
        <w:pStyle w:val="BodyText"/>
      </w:pPr>
      <w:r>
        <w:t xml:space="preserve">88%</w:t>
      </w:r>
    </w:p>
    <w:p>
      <w:pPr>
        <w:pStyle w:val="BodyText"/>
      </w:pPr>
      <w:r>
        <w:t xml:space="preserve">+12%</w:t>
      </w:r>
    </w:p>
    <w:p>
      <w:pPr>
        <w:pStyle w:val="BodyText"/>
      </w:pPr>
      <w:r>
        <w:t xml:space="preserve">HCMC Cost Per Hire (USD)</w:t>
      </w:r>
    </w:p>
    <w:p>
      <w:pPr>
        <w:pStyle w:val="BodyText"/>
      </w:pPr>
      <w:r>
        <w:t xml:space="preserve">$14,500$12,800-12%</w:t>
      </w:r>
    </w:p>
    <w:p>
      <w:pPr>
        <w:pStyle w:val="BodyText"/>
      </w:pPr>
      <w:r>
        <w:t xml:space="preserve">These metrics reflect the success of our HCMC-specific Medical Researcher sales approach. The 38% candidate growth directly correlates with our partnership with HCMC's Department of Health Talent Development Program – a government initiative that matches qualified researchers with strategic employers. Our recruitment team now leverages HCMC's digital infrastructure, using local platforms like TopCV.vn and LinkedIn Vietnam for targeted outreach, achieving 65% of placements through these channels.</w:t>
      </w:r>
    </w:p>
    <w:bookmarkEnd w:id="22"/>
    <w:bookmarkStart w:id="23" w:name="Xd8f18f6a9768a22b9d8a2b7e29f0ef40871d3ef"/>
    <w:p>
      <w:pPr>
        <w:pStyle w:val="Heading2"/>
      </w:pPr>
      <w:r>
        <w:t xml:space="preserve">IV. Sales Strategy Adaptations for Vietnam Ho Chi Minh City</w:t>
      </w:r>
    </w:p>
    <w:p>
      <w:pPr>
        <w:pStyle w:val="FirstParagraph"/>
      </w:pPr>
      <w:r>
        <w:t xml:space="preserve">Our HCMC Medical Researcher recruitment strategy underwent significant adaptation to align with local market dynamics:</w:t>
      </w:r>
    </w:p>
    <w:p>
      <w:pPr>
        <w:numPr>
          <w:ilvl w:val="0"/>
          <w:numId w:val="1001"/>
        </w:numPr>
        <w:pStyle w:val="Compact"/>
      </w:pPr>
      <w:r>
        <w:rPr>
          <w:bCs/>
          <w:b/>
        </w:rPr>
        <w:t xml:space="preserve">Cultural Integration:</w:t>
      </w:r>
      <w:r>
        <w:t xml:space="preserve"> </w:t>
      </w:r>
      <w:r>
        <w:t xml:space="preserve">Recruiters undergo HCMC-specific training on Vietnamese professional etiquette (e.g., importance of "mối quan hệ" or business relationships) to build trust during candidate engagement.</w:t>
      </w:r>
    </w:p>
    <w:p>
      <w:pPr>
        <w:numPr>
          <w:ilvl w:val="0"/>
          <w:numId w:val="1001"/>
        </w:numPr>
        <w:pStyle w:val="Compact"/>
      </w:pPr>
      <w:r>
        <w:rPr>
          <w:bCs/>
          <w:b/>
        </w:rPr>
        <w:t xml:space="preserve">Localized Compensation:</w:t>
      </w:r>
      <w:r>
        <w:t xml:space="preserve"> </w:t>
      </w:r>
      <w:r>
        <w:t xml:space="preserve">Added HCMC-specific benefits including transportation subsidies (accounting for the city's notorious traffic) and access to premium healthcare – critical differentiators in a market where 74% of researchers prioritize these factors.</w:t>
      </w:r>
    </w:p>
    <w:p>
      <w:pPr>
        <w:numPr>
          <w:ilvl w:val="0"/>
          <w:numId w:val="1001"/>
        </w:numPr>
        <w:pStyle w:val="Compact"/>
      </w:pPr>
      <w:r>
        <w:rPr>
          <w:bCs/>
          <w:b/>
        </w:rPr>
        <w:t xml:space="preserve">University Partnerships:</w:t>
      </w:r>
      <w:r>
        <w:t xml:space="preserve"> </w:t>
      </w:r>
      <w:r>
        <w:t xml:space="preserve">Formalized agreements with Ho Chi Minh City University of Medicine &amp; Pharmacy (HUMS) for early talent identification, resulting in 28% of new Medical Researchers being pre-screened through academic channels.</w:t>
      </w:r>
    </w:p>
    <w:p>
      <w:pPr>
        <w:numPr>
          <w:ilvl w:val="0"/>
          <w:numId w:val="1001"/>
        </w:numPr>
        <w:pStyle w:val="Compact"/>
      </w:pPr>
      <w:r>
        <w:rPr>
          <w:bCs/>
          <w:b/>
        </w:rPr>
        <w:t xml:space="preserve">Digital Targeting:</w:t>
      </w:r>
      <w:r>
        <w:t xml:space="preserve"> </w:t>
      </w:r>
      <w:r>
        <w:t xml:space="preserve">Utilized HCMC-specific social media analytics to identify researchers active in local medical forums like the HCMC Medical Association LinkedIn group.</w:t>
      </w:r>
    </w:p>
    <w:bookmarkEnd w:id="23"/>
    <w:bookmarkStart w:id="24" w:name="X6218e03e138623f06984a7ba8f14b381eaff088"/>
    <w:p>
      <w:pPr>
        <w:pStyle w:val="Heading2"/>
      </w:pPr>
      <w:r>
        <w:t xml:space="preserve">V. Challenges &amp; Solutions in Vietnam Ho Chi Minh City</w:t>
      </w:r>
    </w:p>
    <w:p>
      <w:pPr>
        <w:pStyle w:val="FirstParagraph"/>
      </w:pPr>
      <w:r>
        <w:t xml:space="preserve">The primary challenge remains talent retention amid fierce competition from multinational pharmaceutical companies operating within Vietnam Ho Chi Minh City. To counter this, we implemented our "HCMC Medical Researcher Growth Pathway" – a structured career progression plan with annual salary reviews tied to HCMC's cost-of-living index. This initiative has reduced turnover by 22% in the past quarter.</w:t>
      </w:r>
    </w:p>
    <w:p>
      <w:pPr>
        <w:pStyle w:val="BodyText"/>
      </w:pPr>
      <w:r>
        <w:t xml:space="preserve">Additionally, regulatory complexities required adaptation. Vietnam's new Clinical Trials Law (No. 17/2023/PL-UBTVQH15) necessitated specialized training for all Medical Researchers on compliance protocols specific to HCMC's regulatory framework. Our sales team now includes a dedicated Vietnam Regulatory Specialist who ensures all candidate assessments include mandatory local compliance certifications.</w:t>
      </w:r>
    </w:p>
    <w:bookmarkEnd w:id="24"/>
    <w:bookmarkStart w:id="25" w:name="vi.-future-outlook-recommendations"/>
    <w:p>
      <w:pPr>
        <w:pStyle w:val="Heading2"/>
      </w:pPr>
      <w:r>
        <w:t xml:space="preserve">VI. Future Outlook &amp; Recommendations</w:t>
      </w:r>
    </w:p>
    <w:p>
      <w:pPr>
        <w:pStyle w:val="FirstParagraph"/>
      </w:pPr>
      <w:r>
        <w:t xml:space="preserve">Based on Q3 performance, we project a 45% year-over-year increase in Medical Researcher roles filled within Vietnam Ho Chi Minh City through 2024. This aligns with the city's target to become Southeast Asia's leading medical research hub by 2027.</w:t>
      </w:r>
    </w:p>
    <w:p>
      <w:pPr>
        <w:pStyle w:val="BodyText"/>
      </w:pPr>
      <w:r>
        <w:rPr>
          <w:bCs/>
          <w:b/>
        </w:rPr>
        <w:t xml:space="preserve">Key Recommendations:</w:t>
      </w:r>
    </w:p>
    <w:p>
      <w:pPr>
        <w:numPr>
          <w:ilvl w:val="0"/>
          <w:numId w:val="1002"/>
        </w:numPr>
        <w:pStyle w:val="Compact"/>
      </w:pPr>
      <w:r>
        <w:rPr>
          <w:bCs/>
          <w:b/>
        </w:rPr>
        <w:t xml:space="preserve">Expand University Alliances:</w:t>
      </w:r>
      <w:r>
        <w:t xml:space="preserve"> </w:t>
      </w:r>
      <w:r>
        <w:t xml:space="preserve">Formalize partnerships with 3 additional HCMC-based medical institutions by Q1 2024 to tap into the city's growing research talent pipeline.</w:t>
      </w:r>
    </w:p>
    <w:p>
      <w:pPr>
        <w:numPr>
          <w:ilvl w:val="0"/>
          <w:numId w:val="1002"/>
        </w:numPr>
        <w:pStyle w:val="Compact"/>
      </w:pPr>
      <w:r>
        <w:rPr>
          <w:bCs/>
          <w:b/>
        </w:rPr>
        <w:t xml:space="preserve">Invest in Local Leadership Development:</w:t>
      </w:r>
      <w:r>
        <w:t xml:space="preserve"> </w:t>
      </w:r>
      <w:r>
        <w:t xml:space="preserve">Create an HCMC Medical Researcher Leadership Academy to develop homegrown managers, addressing the critical shortage of Vietnamese supervisors in clinical research.</w:t>
      </w:r>
    </w:p>
    <w:p>
      <w:pPr>
        <w:numPr>
          <w:ilvl w:val="0"/>
          <w:numId w:val="1002"/>
        </w:numPr>
        <w:pStyle w:val="Compact"/>
      </w:pPr>
      <w:r>
        <w:rPr>
          <w:bCs/>
          <w:b/>
        </w:rPr>
        <w:t xml:space="preserve">Prioritize Digital Recruitment Tools:</w:t>
      </w:r>
      <w:r>
        <w:t xml:space="preserve"> </w:t>
      </w:r>
      <w:r>
        <w:t xml:space="preserve">Implement AI-driven candidate matching using HCMC-specific skill databases to reduce time-to-hire by 25% by Q4 2023.</w:t>
      </w:r>
    </w:p>
    <w:bookmarkEnd w:id="25"/>
    <w:bookmarkStart w:id="26" w:name="vii.-conclusion"/>
    <w:p>
      <w:pPr>
        <w:pStyle w:val="Heading2"/>
      </w:pPr>
      <w:r>
        <w:t xml:space="preserve">VII. Conclusion</w:t>
      </w:r>
    </w:p>
    <w:p>
      <w:pPr>
        <w:pStyle w:val="FirstParagraph"/>
      </w:pPr>
      <w:r>
        <w:t xml:space="preserve">This Sales Report confirms that Vietnam Ho Chi Minh City remains the pivotal market for our Medical Researcher recruitment strategy. The city's rapid healthcare innovation ecosystem, combined with our culturally attuned recruitment approach, has positioned us to meet Vietnam's soaring demand for medical research talent. As HCMC continues to attract global investment in biotechnology and clinical trials – projected to grow at 15% annually through 2027 – our Medical Researcher sales performance will directly drive the region's healthcare advancement. We recommend maintaining this specialized focus on Vietnam Ho Chi Minh City as the cornerstone of our medical research talent acquisition across Southeast Asia.</w:t>
      </w:r>
    </w:p>
    <w:p>
      <w:pPr>
        <w:pStyle w:val="BodyText"/>
      </w:pPr>
      <w:r>
        <w:rPr>
          <w:bCs/>
          <w:b/>
        </w:rPr>
        <w:t xml:space="preserve">Report Prepared By:</w:t>
      </w:r>
      <w:r>
        <w:t xml:space="preserve"> </w:t>
      </w:r>
      <w:r>
        <w:t xml:space="preserve">Global Talent Solutions, HCMC Operations</w:t>
      </w:r>
      <w:r>
        <w:br/>
      </w:r>
      <w:r>
        <w:rPr>
          <w:bCs/>
          <w:b/>
        </w:rPr>
        <w:t xml:space="preserve">Verification:</w:t>
      </w:r>
      <w:r>
        <w:t xml:space="preserve"> </w:t>
      </w:r>
      <w:r>
        <w:t xml:space="preserve">HR Department, Vietnam National Medical Research Council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Ho Chi Minh City Market Analysis</dc:title>
  <dc:creator/>
  <dc:language>en</dc:language>
  <cp:keywords/>
  <dcterms:created xsi:type="dcterms:W3CDTF">2026-07-24T16:09:06Z</dcterms:created>
  <dcterms:modified xsi:type="dcterms:W3CDTF">2026-07-24T16:09:06Z</dcterms:modified>
</cp:coreProperties>
</file>

<file path=docProps/custom.xml><?xml version="1.0" encoding="utf-8"?>
<Properties xmlns="http://schemas.openxmlformats.org/officeDocument/2006/custom-properties" xmlns:vt="http://schemas.openxmlformats.org/officeDocument/2006/docPropsVTypes"/>
</file>