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China</w:t>
      </w:r>
      <w:r>
        <w:t xml:space="preserve"> </w:t>
      </w:r>
      <w:r>
        <w:t xml:space="preserve">Guangzhou</w:t>
      </w:r>
      <w:r>
        <w:t xml:space="preserve"> </w:t>
      </w:r>
      <w:r>
        <w:t xml:space="preserve">Market</w:t>
      </w:r>
    </w:p>
    <w:bookmarkStart w:id="27" w:name="X8161fef4c49ccea2eef335105caa0ac476f8ef0"/>
    <w:p>
      <w:pPr>
        <w:pStyle w:val="Heading1"/>
      </w:pPr>
      <w:r>
        <w:t xml:space="preserve">Sales Report: Meteorological Services Performance and Strategic Outlook in China Guangzhou</w:t>
      </w:r>
    </w:p>
    <w:p>
      <w:pPr>
        <w:pStyle w:val="FirstParagraph"/>
      </w:pPr>
      <w:r>
        <w:rPr>
          <w:bCs/>
          <w:b/>
        </w:rPr>
        <w:t xml:space="preserve">Prepared For:</w:t>
      </w:r>
      <w:r>
        <w:t xml:space="preserve"> </w:t>
      </w:r>
      <w:r>
        <w:t xml:space="preserve">Global Weather Solutions (GWS) Leadership Team</w:t>
      </w:r>
      <w:r>
        <w:br/>
      </w:r>
      <w:r>
        <w:rPr>
          <w:bCs/>
          <w:b/>
        </w:rPr>
        <w:t xml:space="preserve">Date:</w:t>
      </w:r>
      <w:r>
        <w:t xml:space="preserve"> </w:t>
      </w:r>
      <w:r>
        <w:t xml:space="preserve">October 26, 2023</w:t>
      </w:r>
      <w:r>
        <w:br/>
      </w:r>
      <w:r>
        <w:rPr>
          <w:bCs/>
          <w:b/>
        </w:rPr>
        <w:t xml:space="preserve">Region Covered:</w:t>
      </w:r>
      <w:r>
        <w:t xml:space="preserve"> </w:t>
      </w:r>
      <w:r>
        <w:t xml:space="preserve">Guangzhou, People's Republic of China</w:t>
      </w:r>
    </w:p>
    <w:bookmarkStart w:id="20" w:name="i.-executive-summary"/>
    <w:p>
      <w:pPr>
        <w:pStyle w:val="Heading2"/>
      </w:pPr>
      <w:r>
        <w:t xml:space="preserve">I. Executive Summary</w:t>
      </w:r>
    </w:p>
    <w:p>
      <w:pPr>
        <w:pStyle w:val="FirstParagraph"/>
      </w:pPr>
      <w:r>
        <w:t xml:space="preserve">This sales report details the performance of Meteorological Service offerings in Guangzhou, China during Q3 2023. The market for specialized meteorological data and forecasting has grown significantly due to Guangzhou’s unique climate vulnerabilities and economic scale. Our team of certified</w:t>
      </w:r>
      <w:r>
        <w:t xml:space="preserve"> </w:t>
      </w:r>
      <w:r>
        <w:rPr>
          <w:iCs/>
          <w:i/>
        </w:rPr>
        <w:t xml:space="preserve">Meteorologist</w:t>
      </w:r>
      <w:r>
        <w:t xml:space="preserve"> </w:t>
      </w:r>
      <w:r>
        <w:t xml:space="preserve">professionals delivered a 15% year-on-year revenue increase, securing contracts with key sectors including port logistics, agriculture, and urban infrastructure management. The success underscores Guangzhou’s critical demand for hyper-localized weather intelligence to mitigate typhoon risks and support sustainable development.</w:t>
      </w:r>
    </w:p>
    <w:bookmarkEnd w:id="20"/>
    <w:bookmarkStart w:id="21" w:name="X136b7c14a9a6dfb0207257ca885c10e4f21537f"/>
    <w:p>
      <w:pPr>
        <w:pStyle w:val="Heading2"/>
      </w:pPr>
      <w:r>
        <w:t xml:space="preserve">II. Market Context: Why Guangzhou Demands Expert Meteorological Services</w:t>
      </w:r>
    </w:p>
    <w:p>
      <w:pPr>
        <w:pStyle w:val="FirstParagraph"/>
      </w:pPr>
      <w:r>
        <w:t xml:space="preserve">Guangzhou, as China’s third-largest city and a global trade hub, faces extreme weather challenges due to its tropical monsoon climate. The South China Sea proximity subjects the region to annual typhoons (averaging 4–6 per year), torrential rains during summer months, and urban heat island effects. These conditions directly impact:</w:t>
      </w:r>
      <w:r>
        <w:t xml:space="preserve"> </w:t>
      </w:r>
      <w:r>
        <w:t xml:space="preserve">-</w:t>
      </w:r>
      <w:r>
        <w:t xml:space="preserve"> </w:t>
      </w:r>
      <w:r>
        <w:rPr>
          <w:iCs/>
          <w:i/>
        </w:rPr>
        <w:t xml:space="preserve">Port Operations:</w:t>
      </w:r>
      <w:r>
        <w:t xml:space="preserve"> </w:t>
      </w:r>
      <w:r>
        <w:t xml:space="preserve">Guangzhou Port handles over 60 million TEUs annually; weather disruptions cause $28M+ in daily losses.</w:t>
      </w:r>
      <w:r>
        <w:t xml:space="preserve"> </w:t>
      </w:r>
      <w:r>
        <w:t xml:space="preserve">-</w:t>
      </w:r>
      <w:r>
        <w:t xml:space="preserve"> </w:t>
      </w:r>
      <w:r>
        <w:rPr>
          <w:iCs/>
          <w:i/>
        </w:rPr>
        <w:t xml:space="preserve">Agriculture:</w:t>
      </w:r>
      <w:r>
        <w:t xml:space="preserve"> </w:t>
      </w:r>
      <w:r>
        <w:t xml:space="preserve">The Pearl River Delta produces 12% of China’s rice; crop yield volatility increases with erratic monsoons.</w:t>
      </w:r>
      <w:r>
        <w:t xml:space="preserve"> </w:t>
      </w:r>
      <w:r>
        <w:t xml:space="preserve">-</w:t>
      </w:r>
      <w:r>
        <w:t xml:space="preserve"> </w:t>
      </w:r>
      <w:r>
        <w:rPr>
          <w:iCs/>
          <w:i/>
        </w:rPr>
        <w:t xml:space="preserve">Urban Safety:</w:t>
      </w:r>
      <w:r>
        <w:t xml:space="preserve"> </w:t>
      </w:r>
      <w:r>
        <w:t xml:space="preserve">Flooding in 2023 caused CNY 4.7B in damages, highlighting the need for predictive modeling.</w:t>
      </w:r>
      <w:r>
        <w:t xml:space="preserve"> </w:t>
      </w:r>
      <w:r>
        <w:t xml:space="preserve">Our</w:t>
      </w:r>
      <w:r>
        <w:t xml:space="preserve"> </w:t>
      </w:r>
      <w:r>
        <w:rPr>
          <w:iCs/>
          <w:i/>
        </w:rPr>
        <w:t xml:space="preserve">Meteorologist</w:t>
      </w:r>
      <w:r>
        <w:t xml:space="preserve"> </w:t>
      </w:r>
      <w:r>
        <w:t xml:space="preserve">team leverages Guangzhou-specific data from the Guangdong Provincial Meteorological Bureau and satellite systems (e.g., China’s FY-4A) to deliver actionable insights. This local expertise is our primary competitive edge.</w:t>
      </w:r>
    </w:p>
    <w:bookmarkEnd w:id="21"/>
    <w:bookmarkStart w:id="22" w:name="Xcc459587b4b2c27b4b319ce211d59c72631be67"/>
    <w:p>
      <w:pPr>
        <w:pStyle w:val="Heading2"/>
      </w:pPr>
      <w:r>
        <w:t xml:space="preserve">III. Sales Performance Highlights: Q3 2023</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Q3 2023 Revenue (CNY)</w:t>
            </w:r>
          </w:p>
        </w:tc>
        <w:tc>
          <w:tcPr/>
          <w:p>
            <w:pPr>
              <w:pStyle w:val="Compact"/>
              <w:jc w:val="left"/>
            </w:pPr>
            <w:r>
              <w:t xml:space="preserve">YoY Growth</w:t>
            </w:r>
          </w:p>
        </w:tc>
        <w:tc>
          <w:tcPr/>
          <w:p>
            <w:pPr>
              <w:pStyle w:val="Compact"/>
              <w:jc w:val="left"/>
            </w:pPr>
            <w:r>
              <w:t xml:space="preserve">Key Clients</w:t>
            </w:r>
          </w:p>
        </w:tc>
        <w:tc>
          <w:tcPr/>
          <w:p>
            <w:pPr>
              <w:pStyle w:val="Compact"/>
            </w:pPr>
          </w:p>
        </w:tc>
      </w:tr>
      <w:tr>
        <w:tc>
          <w:tcPr/>
          <w:p>
            <w:pPr>
              <w:pStyle w:val="Compact"/>
              <w:jc w:val="left"/>
            </w:pPr>
            <w:r>
              <w:t xml:space="preserve">Typhoon Impact Forecasting</w:t>
            </w:r>
          </w:p>
        </w:tc>
        <w:tc>
          <w:tcPr/>
          <w:p>
            <w:pPr>
              <w:pStyle w:val="Compact"/>
              <w:jc w:val="left"/>
            </w:pPr>
            <w:r>
              <w:t xml:space="preserve">18.6M</w:t>
            </w:r>
          </w:p>
        </w:tc>
        <w:tc>
          <w:tcPr/>
          <w:p>
            <w:pPr>
              <w:pStyle w:val="Compact"/>
              <w:jc w:val="left"/>
            </w:pPr>
            <w:r>
              <w:t xml:space="preserve">+22%</w:t>
            </w:r>
          </w:p>
        </w:tc>
        <w:tc>
          <w:tcPr/>
          <w:p>
            <w:pPr>
              <w:pStyle w:val="Compact"/>
              <w:jc w:val="left"/>
            </w:pPr>
            <w:r>
              <w:t xml:space="preserve">Guangzhou Port Authority, China Shipping Group</w:t>
            </w:r>
          </w:p>
        </w:tc>
        <w:tc>
          <w:tcPr/>
          <w:p>
            <w:pPr>
              <w:pStyle w:val="Compact"/>
            </w:pPr>
          </w:p>
        </w:tc>
      </w:tr>
      <w:tr>
        <w:tc>
          <w:tcPr/>
          <w:p>
            <w:pPr>
              <w:pStyle w:val="Compact"/>
              <w:jc w:val="left"/>
            </w:pPr>
            <w:r>
              <w:t xml:space="preserve">Agricultural Weather Advisory</w:t>
            </w:r>
          </w:p>
        </w:tc>
        <w:tc>
          <w:tcPr/>
          <w:p>
            <w:pPr>
              <w:pStyle w:val="Compact"/>
              <w:jc w:val="left"/>
            </w:pPr>
            <w:r>
              <w:t xml:space="preserve">9.3M</w:t>
            </w:r>
          </w:p>
        </w:tc>
        <w:tc>
          <w:tcPr/>
          <w:p>
            <w:pPr>
              <w:pStyle w:val="Compact"/>
              <w:jc w:val="left"/>
            </w:pPr>
            <w:r>
              <w:t xml:space="preserve">+18%</w:t>
            </w:r>
          </w:p>
        </w:tc>
        <w:tc>
          <w:tcPr/>
          <w:p>
            <w:pPr>
              <w:pStyle w:val="Compact"/>
            </w:pPr>
          </w:p>
        </w:tc>
        <w:tc>
          <w:tcPr/>
          <w:p>
            <w:pPr>
              <w:pStyle w:val="Compact"/>
            </w:pPr>
          </w:p>
        </w:tc>
      </w:tr>
      <w:tr>
        <w:tc>
          <w:tcPr/>
          <w:p>
            <w:pPr>
              <w:pStyle w:val="Compact"/>
              <w:jc w:val="left"/>
            </w:pPr>
            <w:r>
              <w:t xml:space="preserve">Urban Infrastructure Planning Support (Meteorological Risk Assessment)</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7.2M</w:t>
            </w:r>
            <w:r>
              <w:br/>
            </w:r>
            <w:r>
              <w:t xml:space="preserve">(New Service Launch)</w:t>
            </w:r>
          </w:p>
        </w:tc>
        <w:tc>
          <w:tcPr/>
          <w:p>
            <w:pPr>
              <w:pStyle w:val="Compact"/>
              <w:jc w:val="left"/>
            </w:pPr>
            <w:r>
              <w:t xml:space="preserve">+N/A (Market First)</w:t>
            </w:r>
          </w:p>
        </w:tc>
        <w:tc>
          <w:tcPr/>
          <w:p>
            <w:pPr>
              <w:pStyle w:val="Compact"/>
            </w:pPr>
          </w:p>
        </w:tc>
        <w:tc>
          <w:tcPr/>
          <w:p>
            <w:pPr>
              <w:pStyle w:val="Compact"/>
            </w:pPr>
          </w:p>
        </w:tc>
        <w:tc>
          <w:tcPr/>
          <w:p>
            <w:pPr>
              <w:pStyle w:val="Compact"/>
            </w:pPr>
          </w:p>
        </w:tc>
      </w:tr>
      <w:tr>
        <w:tc>
          <w:tcPr/>
          <w:p>
            <w:pPr>
              <w:pStyle w:val="Compact"/>
              <w:jc w:val="left"/>
            </w:pPr>
            <w:r>
              <w:t xml:space="preserve">Total</w:t>
            </w:r>
          </w:p>
        </w:tc>
        <w:tc>
          <w:tcPr/>
          <w:p>
            <w:pPr>
              <w:pStyle w:val="Compact"/>
              <w:jc w:val="left"/>
            </w:pPr>
            <w:r>
              <w:rPr>
                <w:bCs/>
                <w:b/>
              </w:rPr>
              <w:t xml:space="preserve">35.1M</w:t>
            </w:r>
          </w:p>
        </w:tc>
        <w:tc>
          <w:tcPr/>
          <w:p>
            <w:pPr>
              <w:pStyle w:val="Compact"/>
              <w:jc w:val="left"/>
            </w:pPr>
            <w:r>
              <w:t xml:space="preserve">+15%</w:t>
            </w:r>
          </w:p>
        </w:tc>
        <w:tc>
          <w:tcPr/>
          <w:p>
            <w:pPr>
              <w:pStyle w:val="Compact"/>
              <w:jc w:val="left"/>
            </w:pPr>
            <w:r>
              <w:t xml:space="preserve">9 New Enterprise Contracts</w:t>
            </w:r>
          </w:p>
        </w:tc>
        <w:tc>
          <w:tcPr/>
          <w:p>
            <w:pPr>
              <w:pStyle w:val="Compact"/>
            </w:pPr>
          </w:p>
        </w:tc>
      </w:tr>
    </w:tbl>
    <w:p>
      <w:pPr>
        <w:pStyle w:val="BodyText"/>
      </w:pPr>
      <w:r>
        <w:t xml:space="preserve">*Note: All figures reflect sales directly attributable to Guangzhou-based operations.*</w:t>
      </w:r>
    </w:p>
    <w:bookmarkEnd w:id="22"/>
    <w:bookmarkStart w:id="23" w:name="X5b1ae60a8bc3335563d3368836687753b7ab069"/>
    <w:p>
      <w:pPr>
        <w:pStyle w:val="Heading2"/>
      </w:pPr>
      <w:r>
        <w:t xml:space="preserve">IV. Key Sales Drivers in China Guangzhou Market</w:t>
      </w:r>
    </w:p>
    <w:p>
      <w:pPr>
        <w:pStyle w:val="FirstParagraph"/>
      </w:pPr>
      <w:r>
        <w:rPr>
          <w:bCs/>
          <w:b/>
        </w:rPr>
        <w:t xml:space="preserve">A. Strategic Alignment with Municipal Initiatives:</w:t>
      </w:r>
      <w:r>
        <w:t xml:space="preserve"> </w:t>
      </w:r>
      <w:r>
        <w:t xml:space="preserve">Guangzhou’s 14th Five-Year Plan prioritizes climate resilience, creating a $120M government budget for weather intelligence systems. Our partnership with the Guangzhou Municipal Emergency Management Bureau secured a CNY 5.8M contract for real-time flood prediction—exclusively using our</w:t>
      </w:r>
      <w:r>
        <w:t xml:space="preserve"> </w:t>
      </w:r>
      <w:r>
        <w:rPr>
          <w:iCs/>
          <w:i/>
        </w:rPr>
        <w:t xml:space="preserve">Meteorologist</w:t>
      </w:r>
      <w:r>
        <w:t xml:space="preserve">-developed algorithms.</w:t>
      </w:r>
    </w:p>
    <w:p>
      <w:pPr>
        <w:pStyle w:val="BodyText"/>
      </w:pPr>
      <w:r>
        <w:rPr>
          <w:bCs/>
          <w:b/>
        </w:rPr>
        <w:t xml:space="preserve">B. Sector-Specific Solutions:</w:t>
      </w:r>
      <w:r>
        <w:t xml:space="preserve"> </w:t>
      </w:r>
      <w:r>
        <w:t xml:space="preserve">Unlike generic weather apps, our Guangzhou service integrates:</w:t>
      </w:r>
      <w:r>
        <w:t xml:space="preserve"> </w:t>
      </w:r>
      <w:r>
        <w:t xml:space="preserve">- Historical flood data (e.g., 2017 South China flooding patterns)</w:t>
      </w:r>
      <w:r>
        <w:t xml:space="preserve"> </w:t>
      </w:r>
      <w:r>
        <w:t xml:space="preserve">- Port operational timelines (e.g., ship turnaround windows during rain events)</w:t>
      </w:r>
      <w:r>
        <w:t xml:space="preserve"> </w:t>
      </w:r>
      <w:r>
        <w:t xml:space="preserve">- Air Quality Index forecasts for construction compliance</w:t>
      </w:r>
      <w:r>
        <w:t xml:space="preserve"> </w:t>
      </w:r>
      <w:r>
        <w:t xml:space="preserve">This customization led to a 40% higher client retention rate vs. competitors.</w:t>
      </w:r>
    </w:p>
    <w:p>
      <w:pPr>
        <w:pStyle w:val="BodyText"/>
      </w:pPr>
      <w:r>
        <w:rPr>
          <w:bCs/>
          <w:b/>
        </w:rPr>
        <w:t xml:space="preserve">C. Talent Advantage:</w:t>
      </w:r>
      <w:r>
        <w:t xml:space="preserve"> </w:t>
      </w:r>
      <w:r>
        <w:t xml:space="preserve">Our on-ground</w:t>
      </w:r>
      <w:r>
        <w:t xml:space="preserve"> </w:t>
      </w:r>
      <w:r>
        <w:rPr>
          <w:iCs/>
          <w:i/>
        </w:rPr>
        <w:t xml:space="preserve">Meteorologist</w:t>
      </w:r>
      <w:r>
        <w:t xml:space="preserve"> </w:t>
      </w:r>
      <w:r>
        <w:t xml:space="preserve">team in Guangzhou includes 7 PhDs fluent in Cantonese and Mandarin, enabling direct collaboration with local authorities. This cultural fluency accelerated contract negotiations by 30% compared to multinational firms.</w:t>
      </w:r>
    </w:p>
    <w:bookmarkEnd w:id="23"/>
    <w:bookmarkStart w:id="24" w:name="v.-challenges-and-strategic-response"/>
    <w:p>
      <w:pPr>
        <w:pStyle w:val="Heading2"/>
      </w:pPr>
      <w:r>
        <w:t xml:space="preserve">V. Challenges and Strategic Response</w:t>
      </w:r>
    </w:p>
    <w:p>
      <w:pPr>
        <w:pStyle w:val="FirstParagraph"/>
      </w:pPr>
      <w:r>
        <w:rPr>
          <w:bCs/>
          <w:b/>
        </w:rPr>
        <w:t xml:space="preserve">Challenge:</w:t>
      </w:r>
      <w:r>
        <w:t xml:space="preserve"> </w:t>
      </w:r>
      <w:r>
        <w:t xml:space="preserve">High competition from state-owned meteorological agencies (e.g., China Meteorological Administration) offering subsidized services.</w:t>
      </w:r>
    </w:p>
    <w:p>
      <w:pPr>
        <w:pStyle w:val="BodyText"/>
      </w:pPr>
      <w:r>
        <w:rPr>
          <w:bCs/>
          <w:b/>
        </w:rPr>
        <w:t xml:space="preserve">Response:</w:t>
      </w:r>
      <w:r>
        <w:t xml:space="preserve"> </w:t>
      </w:r>
      <w:r>
        <w:t xml:space="preserve">We pivoted to premium, high-value offerings—e.g., "Typhoon Survival Kits" for SMEs, bundling forecasts with supply chain disruption planning. This generated 27% of Q3 revenue from clients previously served by government entities.</w:t>
      </w:r>
    </w:p>
    <w:p>
      <w:pPr>
        <w:pStyle w:val="BodyText"/>
      </w:pPr>
      <w:r>
        <w:rPr>
          <w:bCs/>
          <w:b/>
        </w:rPr>
        <w:t xml:space="preserve">Challenge:</w:t>
      </w:r>
      <w:r>
        <w:t xml:space="preserve"> </w:t>
      </w:r>
      <w:r>
        <w:t xml:space="preserve">Data integration complexity with Guangzhou’s fragmented municipal weather systems.</w:t>
      </w:r>
    </w:p>
    <w:p>
      <w:pPr>
        <w:pStyle w:val="BodyText"/>
      </w:pPr>
      <w:r>
        <w:rPr>
          <w:bCs/>
          <w:b/>
        </w:rPr>
        <w:t xml:space="preserve">Response:</w:t>
      </w:r>
      <w:r>
        <w:t xml:space="preserve"> </w:t>
      </w:r>
      <w:r>
        <w:t xml:space="preserve">Launched a cloud-based dashboard (Guangzhou Weather Intelligence Hub) that syncs data from 12 local sensors. This solution reduced client operational costs by 35%, becoming our top-selling product in Q3.</w:t>
      </w:r>
    </w:p>
    <w:bookmarkEnd w:id="24"/>
    <w:bookmarkStart w:id="25" w:name="Xe61a3a131ae4022437574159d1686b0a42357e1"/>
    <w:p>
      <w:pPr>
        <w:pStyle w:val="Heading2"/>
      </w:pPr>
      <w:r>
        <w:t xml:space="preserve">VI. Future Outlook: Sales Strategy for Guangzhou Market (2024)</w:t>
      </w:r>
    </w:p>
    <w:p>
      <w:pPr>
        <w:pStyle w:val="FirstParagraph"/>
      </w:pPr>
      <w:r>
        <w:t xml:space="preserve">Based on market trends, we project 20% YoY growth for meteorological services in Guangzhou through:</w:t>
      </w:r>
    </w:p>
    <w:p>
      <w:pPr>
        <w:numPr>
          <w:ilvl w:val="0"/>
          <w:numId w:val="1001"/>
        </w:numPr>
        <w:pStyle w:val="Compact"/>
      </w:pPr>
      <w:r>
        <w:rPr>
          <w:bCs/>
          <w:b/>
        </w:rPr>
        <w:t xml:space="preserve">Expanding to New Sectors:</w:t>
      </w:r>
      <w:r>
        <w:t xml:space="preserve"> </w:t>
      </w:r>
      <w:r>
        <w:t xml:space="preserve">Targeting the Guangzhou Free Trade Zone’s new green energy projects (e.g., solar farms), where weather forecasting optimizes power generation.</w:t>
      </w:r>
    </w:p>
    <w:p>
      <w:pPr>
        <w:numPr>
          <w:ilvl w:val="0"/>
          <w:numId w:val="1001"/>
        </w:numPr>
        <w:pStyle w:val="Compact"/>
      </w:pPr>
      <w:r>
        <w:rPr>
          <w:bCs/>
          <w:b/>
        </w:rPr>
        <w:t xml:space="preserve">Government Collaboration:</w:t>
      </w:r>
      <w:r>
        <w:t xml:space="preserve"> </w:t>
      </w:r>
      <w:r>
        <w:t xml:space="preserve">Proposing a "Guangzhou Climate Resilience Index" tool for municipal planning, leveraging our</w:t>
      </w:r>
      <w:r>
        <w:t xml:space="preserve"> </w:t>
      </w:r>
      <w:r>
        <w:rPr>
          <w:iCs/>
          <w:i/>
        </w:rPr>
        <w:t xml:space="preserve">Meteorologist</w:t>
      </w:r>
      <w:r>
        <w:t xml:space="preserve">-led data analytics.</w:t>
      </w:r>
    </w:p>
    <w:p>
      <w:pPr>
        <w:numPr>
          <w:ilvl w:val="0"/>
          <w:numId w:val="1001"/>
        </w:numPr>
        <w:pStyle w:val="Compact"/>
      </w:pPr>
      <w:r>
        <w:rPr>
          <w:bCs/>
          <w:b/>
        </w:rPr>
        <w:t xml:space="preserve">Tech Integration:</w:t>
      </w:r>
      <w:r>
        <w:t xml:space="preserve"> </w:t>
      </w:r>
      <w:r>
        <w:t xml:space="preserve">Partnering with local IoT startups to embed weather sensors into smart city infrastructure (e.g., traffic lights that adjust for rain).</w:t>
      </w:r>
    </w:p>
    <w:bookmarkEnd w:id="25"/>
    <w:bookmarkStart w:id="26" w:name="vii.-conclusion"/>
    <w:p>
      <w:pPr>
        <w:pStyle w:val="Heading2"/>
      </w:pPr>
      <w:r>
        <w:t xml:space="preserve">VII. Conclusion</w:t>
      </w:r>
    </w:p>
    <w:p>
      <w:pPr>
        <w:pStyle w:val="FirstParagraph"/>
      </w:pPr>
      <w:r>
        <w:t xml:space="preserve">The Guangzhou market has unequivocally validated the commercial viability of specialized meteorological services. Our</w:t>
      </w:r>
      <w:r>
        <w:t xml:space="preserve"> </w:t>
      </w:r>
      <w:r>
        <w:rPr>
          <w:iCs/>
          <w:i/>
        </w:rPr>
        <w:t xml:space="preserve">Meteorologist</w:t>
      </w:r>
      <w:r>
        <w:t xml:space="preserve"> </w:t>
      </w:r>
      <w:r>
        <w:t xml:space="preserve">team’s deep understanding of Guangzhou’s weather patterns, regulatory environment, and economic drivers has positioned us as the preferred partner for risk mitigation in southern China. By aligning sales strategy with Guangzhou’s climate challenges—from typhoon preparedness to urban sustainability—we have not only met but exceeded annual targets. The next phase requires doubling down on localized innovation: developing AI models trained exclusively on Guangzhou’s weather datasets to further differentiate our offerings in this critical market.</w:t>
      </w:r>
    </w:p>
    <w:p>
      <w:pPr>
        <w:pStyle w:val="BodyText"/>
      </w:pPr>
      <w:r>
        <w:rPr>
          <w:bCs/>
          <w:b/>
        </w:rPr>
        <w:t xml:space="preserve">Recommendation:</w:t>
      </w:r>
      <w:r>
        <w:t xml:space="preserve"> </w:t>
      </w:r>
      <w:r>
        <w:t xml:space="preserve">Allocate 25% of 2024 R&amp;D budget to Guangzhou-specific meteorological algorithms, targeting a 30% market share in the city’s commercial weather services sector by Q4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China Guangzhou Market</dc:title>
  <dc:creator/>
  <cp:keywords/>
  <dcterms:created xsi:type="dcterms:W3CDTF">2026-07-23T22:17:04Z</dcterms:created>
  <dcterms:modified xsi:type="dcterms:W3CDTF">2026-07-23T22:17:04Z</dcterms:modified>
</cp:coreProperties>
</file>

<file path=docProps/custom.xml><?xml version="1.0" encoding="utf-8"?>
<Properties xmlns="http://schemas.openxmlformats.org/officeDocument/2006/custom-properties" xmlns:vt="http://schemas.openxmlformats.org/officeDocument/2006/docPropsVTypes"/>
</file>