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Nairobi,</w:t>
      </w:r>
      <w:r>
        <w:t xml:space="preserve"> </w:t>
      </w:r>
      <w:r>
        <w:t xml:space="preserve">Kenya</w:t>
      </w:r>
    </w:p>
    <w:bookmarkStart w:id="31" w:name="X15dbc5a9880108dcc75b4ba63fbb3122e659596"/>
    <w:p>
      <w:pPr>
        <w:pStyle w:val="Heading1"/>
      </w:pPr>
      <w:r>
        <w:t xml:space="preserve">Sales Report: Meteorological Services Performance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sales performance of our advanced meteorological services across Nairobi, Kenya during Q3 2023. Our dedicated team of certified Meteorologists has driven a remarkable 18.7% year-over-year growth in revenue, achieving KES 42.8 million against a target of KES 36.5 million. This success underscores Nairobi's escalating demand for hyperlocal weather intelligence, particularly in agriculture, aviation, and urban infrastructure management. The Meteorologist-led forecasting models proved critical during Nairobi’s unprecedented heavy rainfall events this quarter, directly influencing client retention rates (94%) and expanding our enterprise client base by 22%.</w:t>
      </w:r>
    </w:p>
    <w:bookmarkEnd w:id="20"/>
    <w:bookmarkStart w:id="23" w:name="ii.-key-sales-metrics-performance"/>
    <w:p>
      <w:pPr>
        <w:pStyle w:val="Heading2"/>
      </w:pPr>
      <w:r>
        <w:t xml:space="preserve">II. Key Sales Metrics &amp; Performance</w:t>
      </w:r>
    </w:p>
    <w:bookmarkStart w:id="21" w:name="a.-revenue-breakdown"/>
    <w:p>
      <w:pPr>
        <w:pStyle w:val="Heading3"/>
      </w:pPr>
      <w:r>
        <w:t xml:space="preserve">A. Revenue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(KES)</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Daily Weather Forecasts (Mobile/Web)</w:t>
            </w:r>
          </w:p>
        </w:tc>
        <w:tc>
          <w:tcPr/>
          <w:p>
            <w:pPr>
              <w:pStyle w:val="Compact"/>
              <w:jc w:val="left"/>
            </w:pPr>
            <w:r>
              <w:t xml:space="preserve">14,250,000</w:t>
            </w:r>
          </w:p>
        </w:tc>
        <w:tc>
          <w:tcPr/>
          <w:p>
            <w:pPr>
              <w:pStyle w:val="Compact"/>
              <w:jc w:val="left"/>
            </w:pPr>
            <w:r>
              <w:t xml:space="preserve">33.3%</w:t>
            </w:r>
          </w:p>
        </w:tc>
        <w:tc>
          <w:tcPr/>
          <w:p>
            <w:pPr>
              <w:pStyle w:val="Compact"/>
              <w:jc w:val="left"/>
            </w:pPr>
            <w:r>
              <w:t xml:space="preserve">+15.2%</w:t>
            </w:r>
          </w:p>
        </w:tc>
      </w:tr>
      <w:tr>
        <w:tc>
          <w:tcPr/>
          <w:p>
            <w:pPr>
              <w:pStyle w:val="Compact"/>
              <w:jc w:val="left"/>
            </w:pPr>
            <w:r>
              <w:t xml:space="preserve">Agricultural Advisory Packages</w:t>
            </w:r>
          </w:p>
        </w:tc>
        <w:tc>
          <w:tcPr/>
          <w:p>
            <w:pPr>
              <w:pStyle w:val="Compact"/>
              <w:jc w:val="left"/>
            </w:pPr>
            <w:r>
              <w:t xml:space="preserve">16,875,000</w:t>
            </w:r>
          </w:p>
        </w:tc>
        <w:tc>
          <w:tcPr/>
          <w:p>
            <w:pPr>
              <w:pStyle w:val="Compact"/>
              <w:jc w:val="left"/>
            </w:pPr>
            <w:r>
              <w:t xml:space="preserve">39.4%</w:t>
            </w:r>
          </w:p>
        </w:tc>
        <w:tc>
          <w:tcPr/>
          <w:p>
            <w:pPr>
              <w:pStyle w:val="Compact"/>
              <w:jc w:val="left"/>
            </w:pPr>
            <w:r>
              <w:t xml:space="preserve">+24.6%</w:t>
            </w:r>
          </w:p>
        </w:tc>
      </w:tr>
      <w:tr>
        <w:tc>
          <w:tcPr/>
          <w:p>
            <w:pPr>
              <w:pStyle w:val="Compact"/>
              <w:jc w:val="left"/>
            </w:pPr>
            <w:r>
              <w:t xml:space="preserve">Aviation &amp; Logistics API Subscriptions</w:t>
            </w:r>
          </w:p>
        </w:tc>
        <w:tc>
          <w:tcPr/>
          <w:p>
            <w:pPr>
              <w:pStyle w:val="Compact"/>
              <w:jc w:val="left"/>
            </w:pPr>
            <w:r>
              <w:t xml:space="preserve">8,325,000</w:t>
            </w:r>
          </w:p>
        </w:tc>
        <w:tc>
          <w:tcPr/>
          <w:p>
            <w:pPr>
              <w:pStyle w:val="Compact"/>
              <w:jc w:val="left"/>
            </w:pPr>
            <w:r>
              <w:t xml:space="preserve">19.4%</w:t>
            </w:r>
          </w:p>
        </w:tc>
        <w:tc>
          <w:tcPr/>
          <w:p>
            <w:pPr>
              <w:pStyle w:val="Compact"/>
              <w:jc w:val="left"/>
            </w:pPr>
            <w:r>
              <w:t xml:space="preserve">+12.8%</w:t>
            </w:r>
          </w:p>
        </w:tc>
      </w:tr>
      <w:tr>
        <w:tc>
          <w:tcPr/>
          <w:p>
            <w:pPr>
              <w:pStyle w:val="Compact"/>
              <w:jc w:val="left"/>
            </w:pPr>
            <w:r>
              <w:t xml:space="preserve">Nairobi Urban Infrastructure Reports</w:t>
            </w:r>
          </w:p>
        </w:tc>
        <w:tc>
          <w:tcPr/>
          <w:p>
            <w:pPr>
              <w:pStyle w:val="Compact"/>
              <w:jc w:val="left"/>
            </w:pPr>
            <w:r>
              <w:t xml:space="preserve">3,350,000</w:t>
            </w:r>
          </w:p>
        </w:tc>
        <w:tc>
          <w:tcPr/>
          <w:p>
            <w:pPr>
              <w:pStyle w:val="Compact"/>
              <w:jc w:val="left"/>
            </w:pPr>
            <w:r>
              <w:t xml:space="preserve">7.8%</w:t>
            </w:r>
          </w:p>
        </w:tc>
        <w:tc>
          <w:tcPr/>
          <w:p>
            <w:pPr>
              <w:pStyle w:val="Compact"/>
              <w:jc w:val="left"/>
            </w:pPr>
            <w:r>
              <w:t xml:space="preserve">+31.1%</w:t>
            </w:r>
          </w:p>
        </w:tc>
      </w:tr>
      <w:tr>
        <w:tc>
          <w:tcPr/>
          <w:p>
            <w:pPr>
              <w:pStyle w:val="Compact"/>
              <w:jc w:val="left"/>
            </w:pPr>
            <w:r>
              <w:rPr>
                <w:bCs/>
                <w:b/>
              </w:rPr>
              <w:t xml:space="preserve">Total</w:t>
            </w:r>
          </w:p>
        </w:tc>
        <w:tc>
          <w:tcPr/>
          <w:p>
            <w:pPr>
              <w:pStyle w:val="Compact"/>
              <w:jc w:val="left"/>
            </w:pPr>
            <w:r>
              <w:rPr>
                <w:bCs/>
                <w:b/>
              </w:rPr>
              <w:t xml:space="preserve">42,800,000</w:t>
            </w:r>
          </w:p>
        </w:tc>
        <w:tc>
          <w:tcPr/>
          <w:p>
            <w:pPr>
              <w:pStyle w:val="Compact"/>
              <w:jc w:val="left"/>
            </w:pPr>
            <w:r>
              <w:rPr>
                <w:bCs/>
                <w:b/>
              </w:rPr>
              <w:t xml:space="preserve">100%</w:t>
            </w:r>
          </w:p>
        </w:tc>
        <w:tc>
          <w:tcPr/>
          <w:p>
            <w:pPr>
              <w:pStyle w:val="Compact"/>
              <w:jc w:val="left"/>
            </w:pPr>
            <w:r>
              <w:rPr>
                <w:bCs/>
                <w:b/>
              </w:rPr>
              <w:t xml:space="preserve">+18.7%</w:t>
            </w:r>
          </w:p>
        </w:tc>
      </w:tr>
    </w:tbl>
    <w:bookmarkEnd w:id="21"/>
    <w:bookmarkStart w:id="22" w:name="b.-client-acquisition-retention"/>
    <w:p>
      <w:pPr>
        <w:pStyle w:val="Heading3"/>
      </w:pPr>
      <w:r>
        <w:t xml:space="preserve">B. Client Acquisition &amp; Retention</w:t>
      </w:r>
    </w:p>
    <w:p>
      <w:pPr>
        <w:numPr>
          <w:ilvl w:val="0"/>
          <w:numId w:val="1001"/>
        </w:numPr>
        <w:pStyle w:val="Compact"/>
      </w:pPr>
      <w:r>
        <w:rPr>
          <w:bCs/>
          <w:b/>
        </w:rPr>
        <w:t xml:space="preserve">New Enterprise Clients:</w:t>
      </w:r>
      <w:r>
        <w:t xml:space="preserve"> </w:t>
      </w:r>
      <w:r>
        <w:t xml:space="preserve">42 (including 5 major agribusinesses: Bidco, Kenya Tea Packers, and three Nairobi-based construction firms)</w:t>
      </w:r>
    </w:p>
    <w:p>
      <w:pPr>
        <w:numPr>
          <w:ilvl w:val="0"/>
          <w:numId w:val="1001"/>
        </w:numPr>
        <w:pStyle w:val="Compact"/>
      </w:pPr>
      <w:r>
        <w:rPr>
          <w:bCs/>
          <w:b/>
        </w:rPr>
        <w:t xml:space="preserve">Client Retention Rate:</w:t>
      </w:r>
      <w:r>
        <w:t xml:space="preserve"> </w:t>
      </w:r>
      <w:r>
        <w:t xml:space="preserve">94% (exceeding industry benchmark of 85%)</w:t>
      </w:r>
    </w:p>
    <w:p>
      <w:pPr>
        <w:numPr>
          <w:ilvl w:val="0"/>
          <w:numId w:val="1001"/>
        </w:numPr>
        <w:pStyle w:val="Compact"/>
      </w:pPr>
      <w:r>
        <w:rPr>
          <w:bCs/>
          <w:b/>
        </w:rPr>
        <w:t xml:space="preserve">Average Revenue Per User (ARPU):</w:t>
      </w:r>
      <w:r>
        <w:t xml:space="preserve"> </w:t>
      </w:r>
      <w:r>
        <w:t xml:space="preserve">KES 1,200/month (up from KES 1,085 in Q2)</w:t>
      </w:r>
    </w:p>
    <w:bookmarkEnd w:id="22"/>
    <w:bookmarkEnd w:id="23"/>
    <w:bookmarkStart w:id="27" w:name="iii.-nairobi-specific-market-analysis"/>
    <w:p>
      <w:pPr>
        <w:pStyle w:val="Heading2"/>
      </w:pPr>
      <w:r>
        <w:t xml:space="preserve">III. Nairobi-Specific Market Analysis</w:t>
      </w:r>
    </w:p>
    <w:p>
      <w:pPr>
        <w:pStyle w:val="FirstParagraph"/>
      </w:pPr>
      <w:r>
        <w:t xml:space="preserve">The meteorological services landscape in Kenya Nairobi has undergone significant transformation this quarter. Our Meteorologist team identified three critical local drivers of sales growth:</w:t>
      </w:r>
    </w:p>
    <w:bookmarkStart w:id="24" w:name="a.-climate-volatility-economic-impact"/>
    <w:p>
      <w:pPr>
        <w:pStyle w:val="Heading3"/>
      </w:pPr>
      <w:r>
        <w:t xml:space="preserve">A. Climate Volatility &amp; Economic Impact</w:t>
      </w:r>
    </w:p>
    <w:p>
      <w:pPr>
        <w:pStyle w:val="FirstParagraph"/>
      </w:pPr>
      <w:r>
        <w:t xml:space="preserve">Nairobi experienced record-breaking rainfall from August 10-15, causing widespread flooding in Kibera and Ruiru suburbs. Our real-time flood prediction models (developed by our Nairobi-based Meteorologist team) enabled clients to avert KES 87 million in potential losses. This directly resulted in 37 new enterprise contracts with construction firms requiring weather-resilient project planning.</w:t>
      </w:r>
    </w:p>
    <w:bookmarkEnd w:id="24"/>
    <w:bookmarkStart w:id="25" w:name="b.-agricultural-demand-surge"/>
    <w:p>
      <w:pPr>
        <w:pStyle w:val="Heading3"/>
      </w:pPr>
      <w:r>
        <w:t xml:space="preserve">B. Agricultural Demand Surge</w:t>
      </w:r>
    </w:p>
    <w:p>
      <w:pPr>
        <w:pStyle w:val="FirstParagraph"/>
      </w:pPr>
      <w:r>
        <w:t xml:space="preserve">With the long rains season (March-June) followed by intense short rains, Nairobi’s peri-urban farmers (particularly in Kiambu and Machakos counties) drove 24.6% YoY growth in agricultural packages. Our Meteorologist-designed "Crop Health Alerts" service—which integrates soil moisture data with forecasted precipitation—became the top-selling product, securing contracts with 12 cooperative farms managing over 15,000 acres of maize and tea.</w:t>
      </w:r>
    </w:p>
    <w:bookmarkEnd w:id="25"/>
    <w:bookmarkStart w:id="26" w:name="c.-infrastructure-development-boom"/>
    <w:p>
      <w:pPr>
        <w:pStyle w:val="Heading3"/>
      </w:pPr>
      <w:r>
        <w:t xml:space="preserve">C. Infrastructure Development Boom</w:t>
      </w:r>
    </w:p>
    <w:p>
      <w:pPr>
        <w:pStyle w:val="FirstParagraph"/>
      </w:pPr>
      <w:r>
        <w:t xml:space="preserve">Nairobi's ongoing expansion (including the Nairobi Expressway Phase 2 and Juba Road rehabilitation) increased demand for our "Urban Weather Risk Reports." These reports, generated by our Meteorologist specialists analyzing microclimate data from Nairobi’s 17 weather stations, now form part of mandatory project documentation for all major construction tenders. This segment grew by 31.1% as city planning authorities mandated weather intelligence in infrastructure approvals.</w:t>
      </w:r>
    </w:p>
    <w:bookmarkEnd w:id="26"/>
    <w:bookmarkEnd w:id="27"/>
    <w:bookmarkStart w:id="28" w:name="iv.-challenges-strategic-response"/>
    <w:p>
      <w:pPr>
        <w:pStyle w:val="Heading2"/>
      </w:pPr>
      <w:r>
        <w:t xml:space="preserve">IV. Challenges &amp; Strategic Response</w:t>
      </w:r>
    </w:p>
    <w:p>
      <w:pPr>
        <w:pStyle w:val="FirstParagraph"/>
      </w:pPr>
      <w:r>
        <w:t xml:space="preserve">Despite strong growth, two Nairobi-specific challenges impacted operations:</w:t>
      </w:r>
    </w:p>
    <w:p>
      <w:pPr>
        <w:numPr>
          <w:ilvl w:val="0"/>
          <w:numId w:val="1002"/>
        </w:numPr>
        <w:pStyle w:val="Compact"/>
      </w:pPr>
      <w:r>
        <w:rPr>
          <w:bCs/>
          <w:b/>
        </w:rPr>
        <w:t xml:space="preserve">Power Instability:</w:t>
      </w:r>
      <w:r>
        <w:t xml:space="preserve"> </w:t>
      </w:r>
      <w:r>
        <w:t xml:space="preserve">Frequent grid fluctuations disrupted our Nakumatt data center (Nairobi). *Response:* Deployed solar-powered backup systems across all Nairobi operational sites at a cost of KES 1.2M, reducing downtime by 98%.</w:t>
      </w:r>
    </w:p>
    <w:p>
      <w:pPr>
        <w:numPr>
          <w:ilvl w:val="0"/>
          <w:numId w:val="1002"/>
        </w:numPr>
        <w:pStyle w:val="Compact"/>
      </w:pPr>
      <w:r>
        <w:rPr>
          <w:bCs/>
          <w:b/>
        </w:rPr>
        <w:t xml:space="preserve">Competition from Free Services:</w:t>
      </w:r>
      <w:r>
        <w:t xml:space="preserve"> </w:t>
      </w:r>
      <w:r>
        <w:t xml:space="preserve">Local media outlets offering basic weather updates diluted premium service uptake. *Response:* Launched "Nairobi Weather Premium" tier with exclusive Meteorologist insights (e.g., Nairobi City Center-specific rainfall intensity forecasts), increasing conversion rates by 27%.</w:t>
      </w:r>
    </w:p>
    <w:bookmarkEnd w:id="28"/>
    <w:bookmarkStart w:id="29" w:name="v.-future-outlook-growth-strategies"/>
    <w:p>
      <w:pPr>
        <w:pStyle w:val="Heading2"/>
      </w:pPr>
      <w:r>
        <w:t xml:space="preserve">V. Future Outlook &amp; Growth Strategies</w:t>
      </w:r>
    </w:p>
    <w:p>
      <w:pPr>
        <w:pStyle w:val="FirstParagraph"/>
      </w:pPr>
      <w:r>
        <w:t xml:space="preserve">Our Nairobi market position is exceptionally strong, with the following priorities for Q4 2023:</w:t>
      </w:r>
    </w:p>
    <w:p>
      <w:pPr>
        <w:numPr>
          <w:ilvl w:val="0"/>
          <w:numId w:val="1003"/>
        </w:numPr>
        <w:pStyle w:val="Compact"/>
      </w:pPr>
      <w:r>
        <w:rPr>
          <w:bCs/>
          <w:b/>
        </w:rPr>
        <w:t xml:space="preserve">Expand Meteorologist Network:</w:t>
      </w:r>
      <w:r>
        <w:t xml:space="preserve"> </w:t>
      </w:r>
      <w:r>
        <w:t xml:space="preserve">Hire 5 additional certified Meteorologists specializing in urban climatology to support growing demand, focusing on areas like Kilimani and Westlands where infrastructure projects are accelerating.</w:t>
      </w:r>
    </w:p>
    <w:p>
      <w:pPr>
        <w:numPr>
          <w:ilvl w:val="0"/>
          <w:numId w:val="1003"/>
        </w:numPr>
        <w:pStyle w:val="Compact"/>
      </w:pPr>
      <w:r>
        <w:rPr>
          <w:bCs/>
          <w:b/>
        </w:rPr>
        <w:t xml:space="preserve">Nairobi Climate Resilience Partnership:</w:t>
      </w:r>
      <w:r>
        <w:t xml:space="preserve"> </w:t>
      </w:r>
      <w:r>
        <w:t xml:space="preserve">Forge a strategic alliance with Nairobi City County Government to provide subsidized weather intelligence for low-income neighborhoods (targeting 500 community centers by Q1 2024), creating both social impact and new revenue streams.</w:t>
      </w:r>
    </w:p>
    <w:p>
      <w:pPr>
        <w:numPr>
          <w:ilvl w:val="0"/>
          <w:numId w:val="1003"/>
        </w:numPr>
        <w:pStyle w:val="Compact"/>
      </w:pPr>
      <w:r>
        <w:rPr>
          <w:bCs/>
          <w:b/>
        </w:rPr>
        <w:t xml:space="preserve">AI-Powered Forecasting:</w:t>
      </w:r>
      <w:r>
        <w:t xml:space="preserve"> </w:t>
      </w:r>
      <w:r>
        <w:t xml:space="preserve">Implement our "Nairobi Micro-Weather Engine" AI tool (developed by our in-house Meteorologist team) to deliver hyperlocal forecasts within 500m resolution, projected to increase ARPU by 35% in enterprise contracts.</w:t>
      </w:r>
    </w:p>
    <w:p>
      <w:pPr>
        <w:numPr>
          <w:ilvl w:val="0"/>
          <w:numId w:val="1003"/>
        </w:numPr>
        <w:pStyle w:val="Compact"/>
      </w:pPr>
      <w:r>
        <w:rPr>
          <w:bCs/>
          <w:b/>
        </w:rPr>
        <w:t xml:space="preserve">Aviation Sector Expansion:</w:t>
      </w:r>
      <w:r>
        <w:t xml:space="preserve"> </w:t>
      </w:r>
      <w:r>
        <w:t xml:space="preserve">Target Jomo Kenyatta International Airport (JKIA) stakeholders with integrated flight delay prediction services, leveraging our Meteorologist's aviation weather expertise gained from Kenya Airways partnerships.</w:t>
      </w:r>
    </w:p>
    <w:bookmarkEnd w:id="29"/>
    <w:bookmarkStart w:id="30" w:name="vi.-conclusion"/>
    <w:p>
      <w:pPr>
        <w:pStyle w:val="Heading2"/>
      </w:pPr>
      <w:r>
        <w:t xml:space="preserve">VI. Conclusion</w:t>
      </w:r>
    </w:p>
    <w:p>
      <w:pPr>
        <w:pStyle w:val="FirstParagraph"/>
      </w:pPr>
      <w:r>
        <w:t xml:space="preserve">The Q3 2023 sales performance in Kenya Nairobi validates our meteorological service model as both economically viable and socially essential. Our team of specialized Meteorologists has transformed weather data into a critical business asset for Nairobi's evolving economy—from protecting smallholder farms to enabling major infrastructure projects. As climate patterns intensify in Kenya, the demand for precise, locally calibrated forecasts will only grow. We project Q4 revenue to reach KES 51 million based on current pipeline momentum and our new Nairobi Climate Resilience initiative.</w:t>
      </w:r>
    </w:p>
    <w:p>
      <w:pPr>
        <w:pStyle w:val="BodyText"/>
      </w:pPr>
      <w:r>
        <w:t xml:space="preserve">With Nairobi now serving as our flagship market for meteorological services across East Africa, we recommend doubling down on hyperlocal expertise. The Meteorologist-led approach has proven that weather intelligence isn't merely a service—it's becoming the backbone of smart urban development in Kenya's capital city. We are confident that continued investment in Nairobi-specific meteorological capabilities will cement our leadership position while delivering measurable economic and social value to Kenyan communities.</w:t>
      </w:r>
    </w:p>
    <w:p>
      <w:pPr>
        <w:pStyle w:val="BodyText"/>
      </w:pPr>
      <w:r>
        <w:rPr>
          <w:bCs/>
          <w:b/>
        </w:rPr>
        <w:t xml:space="preserve">Prepared By:</w:t>
      </w:r>
      <w:r>
        <w:t xml:space="preserve"> </w:t>
      </w:r>
      <w:r>
        <w:t xml:space="preserve">Data &amp; Meteorological Analytics Division,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Nairobi, Kenya</dc:title>
  <dc:creator/>
  <dc:language>en</dc:language>
  <cp:keywords/>
  <dcterms:created xsi:type="dcterms:W3CDTF">2026-07-23T12:32:16Z</dcterms:created>
  <dcterms:modified xsi:type="dcterms:W3CDTF">2026-07-23T12:32:16Z</dcterms:modified>
</cp:coreProperties>
</file>

<file path=docProps/custom.xml><?xml version="1.0" encoding="utf-8"?>
<Properties xmlns="http://schemas.openxmlformats.org/officeDocument/2006/custom-properties" xmlns:vt="http://schemas.openxmlformats.org/officeDocument/2006/docPropsVTypes"/>
</file>