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gif" ContentType="image/gif;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Turkey</w:t>
      </w:r>
      <w:r>
        <w:t xml:space="preserve"> </w:t>
      </w:r>
      <w:r>
        <w:t xml:space="preserve">Istanbul</w:t>
      </w:r>
      <w:r>
        <w:t xml:space="preserve"> </w:t>
      </w:r>
      <w:r>
        <w:t xml:space="preserve">Market</w:t>
      </w:r>
    </w:p>
    <w:bookmarkStart w:id="37" w:name="Xc2b3444db2f3f29bd1222fc07945e1e8620a907"/>
    <w:p>
      <w:pPr>
        <w:pStyle w:val="Heading1"/>
      </w:pPr>
      <w:r>
        <w:t xml:space="preserve">Comprehensive Sales Report: Meteorological Service Performance &amp; Market Analysis in Turkey Istanbul (Q3 2023)</w:t>
      </w:r>
    </w:p>
    <w:bookmarkStart w:id="20" w:name="executive-summary"/>
    <w:p>
      <w:pPr>
        <w:pStyle w:val="Heading2"/>
      </w:pPr>
      <w:r>
        <w:t xml:space="preserve">Executive Summary</w:t>
      </w:r>
    </w:p>
    <w:p>
      <w:pPr>
        <w:pStyle w:val="FirstParagraph"/>
      </w:pPr>
      <w:r>
        <w:t xml:space="preserve">This Sales Report details the operational and revenue performance of meteorological service providers operating within the dynamic market of Istanbul, Turkey. As a critical hub for commerce, tourism, and transportation in both Europe and Asia, Istanbul's unique geographical position—straddling the Bosphorus Strait—creates complex weather patterns demanding precise forecasting. This report confirms that demand for professional</w:t>
      </w:r>
      <w:r>
        <w:t xml:space="preserve"> </w:t>
      </w:r>
      <w:r>
        <w:rPr>
          <w:bCs/>
          <w:b/>
        </w:rPr>
        <w:t xml:space="preserve">Meteorologist</w:t>
      </w:r>
      <w:r>
        <w:t xml:space="preserve">-driven services has surged by 22% year-over-year in Turkey Istanbul, directly correlating with increased urbanization, climate volatility, and regulatory requirements. The Istanbul metropolitan area represents a high-value market where accurate weather intelligence directly impacts public safety, business continuity, and economic activity.</w:t>
      </w:r>
    </w:p>
    <w:bookmarkEnd w:id="20"/>
    <w:bookmarkStart w:id="21" w:name="X7fafe71a3d53eb913ee6d841588675c23fada22"/>
    <w:p>
      <w:pPr>
        <w:pStyle w:val="Heading2"/>
      </w:pPr>
      <w:r>
        <w:t xml:space="preserve">Market Context: Why Istanbul Drives Meteorological Sales</w:t>
      </w:r>
    </w:p>
    <w:p>
      <w:pPr>
        <w:pStyle w:val="FirstParagraph"/>
      </w:pPr>
      <w:r>
        <w:t xml:space="preserve">Istanbul's position as Turkey's largest city (over 15 million residents) and primary economic engine necessitates advanced meteorological services. The city experiences dramatic seasonal shifts—from harsh winters with heavy snowfall to intense summer heatwaves—and is increasingly vulnerable to climate-driven events like flash floods. This volatility creates sustained demand for specialized</w:t>
      </w:r>
      <w:r>
        <w:t xml:space="preserve"> </w:t>
      </w:r>
      <w:r>
        <w:rPr>
          <w:bCs/>
          <w:b/>
        </w:rPr>
        <w:t xml:space="preserve">Meteorologist</w:t>
      </w:r>
      <w:r>
        <w:t xml:space="preserve"> </w:t>
      </w:r>
      <w:r>
        <w:t xml:space="preserve">expertise across key sectors:</w:t>
      </w:r>
    </w:p>
    <w:p>
      <w:pPr>
        <w:numPr>
          <w:ilvl w:val="0"/>
          <w:numId w:val="1001"/>
        </w:numPr>
        <w:pStyle w:val="Compact"/>
      </w:pPr>
      <w:r>
        <w:rPr>
          <w:bCs/>
          <w:b/>
        </w:rPr>
        <w:t xml:space="preserve">Airport &amp; Port Operations:</w:t>
      </w:r>
      <w:r>
        <w:t xml:space="preserve"> </w:t>
      </w:r>
      <w:r>
        <w:t xml:space="preserve">Istanbul Airport (ISL) and Istanbul Port rely on real-time forecasting to manage 100+ daily flights and cargo movements.</w:t>
      </w:r>
    </w:p>
    <w:p>
      <w:pPr>
        <w:numPr>
          <w:ilvl w:val="0"/>
          <w:numId w:val="1001"/>
        </w:numPr>
        <w:pStyle w:val="Compact"/>
      </w:pPr>
      <w:r>
        <w:rPr>
          <w:bCs/>
          <w:b/>
        </w:rPr>
        <w:t xml:space="preserve">Tourism &amp; Hospitality:</w:t>
      </w:r>
      <w:r>
        <w:t xml:space="preserve"> </w:t>
      </w:r>
      <w:r>
        <w:t xml:space="preserve">Over 25 million annual tourists require weather-based planning for attractions like the Bosphorus cruises.</w:t>
      </w:r>
    </w:p>
    <w:p>
      <w:pPr>
        <w:numPr>
          <w:ilvl w:val="0"/>
          <w:numId w:val="1001"/>
        </w:numPr>
        <w:pStyle w:val="Compact"/>
      </w:pPr>
      <w:r>
        <w:rPr>
          <w:bCs/>
          <w:b/>
        </w:rPr>
        <w:t xml:space="preserve">Construction &amp; Infrastructure:</w:t>
      </w:r>
      <w:r>
        <w:t xml:space="preserve"> </w:t>
      </w:r>
      <w:r>
        <w:t xml:space="preserve">Major projects (e.g., Marmaray expansion, Istanbul Canal) demand precise weather windows for safety.</w:t>
      </w:r>
    </w:p>
    <w:p>
      <w:pPr>
        <w:numPr>
          <w:ilvl w:val="0"/>
          <w:numId w:val="1001"/>
        </w:numPr>
        <w:pStyle w:val="Compact"/>
      </w:pPr>
      <w:r>
        <w:rPr>
          <w:bCs/>
          <w:b/>
        </w:rPr>
        <w:t xml:space="preserve">Public Safety:</w:t>
      </w:r>
      <w:r>
        <w:t xml:space="preserve"> </w:t>
      </w:r>
      <w:r>
        <w:t xml:space="preserve">Istanbul Metropolitan Municipality mandates weather alerts for 45+ high-risk districts during storm seasons.</w:t>
      </w:r>
    </w:p>
    <w:bookmarkEnd w:id="21"/>
    <w:bookmarkStart w:id="31" w:name="X457ad5cd864547e1233c0d1a08a691b074dfc2b"/>
    <w:p>
      <w:pPr>
        <w:pStyle w:val="Heading2"/>
      </w:pPr>
      <w:r>
        <w:t xml:space="preserve">Q3 2023 Sales Performance: Turkey Istanbul Market</w:t>
      </w:r>
    </w:p>
    <w:p>
      <w:pPr>
        <w:pStyle w:val="FirstParagraph"/>
      </w:pPr>
      <w:r>
        <w:t xml:space="preserve">The quarter concluded with total revenue of ₺8.7 million (≈$415,000), a 19.3% increase from Q2 and 28% above Q3 2022. Key drivers included:</w:t>
      </w:r>
    </w:p>
    <w:bookmarkStart w:id="29" w:name="revenue-streams-client-breakdown"/>
    <w:p>
      <w:pPr>
        <w:pStyle w:val="Heading3"/>
      </w:pPr>
      <w:r>
        <w:t xml:space="preserve">Revenue Streams &amp; Client Breakdown</w:t>
      </w:r>
    </w:p>
    <w:p>
      <w:pPr>
        <w:pStyle w:val="FirstParagraph"/>
      </w:pPr>
      <w:r>
        <w:t xml:space="preserve">Service Type</w:t>
      </w:r>
    </w:p>
    <w:p>
      <w:pPr>
        <w:pStyle w:val="BodyText"/>
      </w:pPr>
      <w:r>
        <w:t xml:space="preserve">Revenue (₺)</w:t>
      </w:r>
    </w:p>
    <w:p>
      <w:pPr>
        <w:pStyle w:val="BodyText"/>
      </w:pPr>
      <w:r>
        <w:t xml:space="preserve">% of Total</w:t>
      </w:r>
    </w:p>
    <w:p>
      <w:pPr>
        <w:pStyle w:val="BodyText"/>
      </w:pPr>
      <w:r>
        <w:t xml:space="preserve">Primary Istanbul Clients</w:t>
      </w:r>
    </w:p>
    <w:p>
      <w:pPr>
        <w:pStyle w:val="BodyText"/>
      </w:pPr>
      <w:r>
        <w:t xml:space="preserve">Customized Weather Intelligence Feeds</w:t>
      </w:r>
    </w:p>
    <w:p>
      <w:pPr>
        <w:pStyle w:val="BodyText"/>
      </w:pPr>
      <w:r>
        <w:t xml:space="preserve">3,850,000</w:t>
      </w:r>
    </w:p>
    <w:p>
      <w:pPr>
        <w:pStyle w:val="BodyText"/>
      </w:pPr>
      <w:r>
        <w:t xml:space="preserve">44.2%</w:t>
      </w:r>
    </w:p>
    <w:p>
      <w:pPr>
        <w:pStyle w:val="BodyText"/>
      </w:pPr>
      <w:r>
        <w:t xml:space="preserve">Istanbul Airport, Sabiha Gökçen International Airport</w:t>
      </w:r>
    </w:p>
    <w:p>
      <w:pPr>
        <w:pStyle w:val="BodyText"/>
      </w:pPr>
      <w:r>
        <w:t xml:space="preserve">Emergency Forecasting &amp; Alert Systems</w:t>
      </w:r>
    </w:p>
    <w:p>
      <w:pPr>
        <w:pStyle w:val="BodyText"/>
      </w:pPr>
      <w:r>
        <w:t xml:space="preserve">2,195,000</w:t>
      </w:r>
    </w:p>
    <w:p>
      <w:pPr>
        <w:pStyle w:val="BodyText"/>
      </w:pPr>
      <w:r>
        <w:drawing>
          <wp:inline>
            <wp:extent cx="9525" cy="9525"/>
            <wp:effectExtent b="0" l="0" r="0" t="0"/>
            <wp:docPr descr="%" title="" id="23" name="Picture"/>
            <a:graphic>
              <a:graphicData uri="http://schemas.openxmlformats.org/drawingml/2006/picture">
                <pic:pic>
                  <pic:nvPicPr>
                    <pic:cNvPr descr="data:image/gif;base64,R0lGODlhAQABAIAAAAAAAP///yH5BAEAAAAALAAAAAABAAEAAAIBRAA7" id="24" name="Picture"/>
                    <pic:cNvPicPr>
                      <a:picLocks noChangeArrowheads="1" noChangeAspect="1"/>
                    </pic:cNvPicPr>
                  </pic:nvPicPr>
                  <pic:blipFill>
                    <a:blip r:embed="rId22"/>
                    <a:stretch>
                      <a:fillRect/>
                    </a:stretch>
                  </pic:blipFill>
                  <pic:spPr bwMode="auto">
                    <a:xfrm>
                      <a:off x="0" y="0"/>
                      <a:ext cx="9525" cy="9525"/>
                    </a:xfrm>
                    <a:prstGeom prst="rect">
                      <a:avLst/>
                    </a:prstGeom>
                    <a:noFill/>
                    <a:ln w="9525">
                      <a:noFill/>
                      <a:headEnd/>
                      <a:tailEnd/>
                    </a:ln>
                  </pic:spPr>
                </pic:pic>
              </a:graphicData>
            </a:graphic>
          </wp:inline>
        </w:drawing>
      </w:r>
    </w:p>
    <w:p>
      <w:pPr>
        <w:pStyle w:val="BodyText"/>
      </w:pPr>
      <w:r>
        <w:t xml:space="preserve">25.2%</w:t>
      </w:r>
    </w:p>
    <w:p>
      <w:pPr>
        <w:pStyle w:val="BodyText"/>
      </w:pPr>
      <w:r>
        <w:t xml:space="preserve">Istanbul Metropolitan Municipality, Istanbul Disaster &amp; Emergency Management Authority (AFAD)</w:t>
      </w:r>
    </w:p>
    <w:p>
      <w:pPr>
        <w:pStyle w:val="BodyText"/>
      </w:pPr>
      <w:r>
        <w:t xml:space="preserve">Seasonal Planning for Tourism</w:t>
      </w:r>
    </w:p>
    <w:p>
      <w:pPr>
        <w:pStyle w:val="BodyText"/>
      </w:pPr>
      <w:r>
        <w:t xml:space="preserve">1,680,000</w:t>
      </w:r>
    </w:p>
    <w:p>
      <w:pPr>
        <w:pStyle w:val="BodyText"/>
      </w:pPr>
      <w:r>
        <w:drawing>
          <wp:inline>
            <wp:extent cx="9525" cy="9525"/>
            <wp:effectExtent b="0" l="0" r="0" t="0"/>
            <wp:docPr descr="%" title="" id="25" name="Picture"/>
            <a:graphic>
              <a:graphicData uri="http://schemas.openxmlformats.org/drawingml/2006/picture">
                <pic:pic>
                  <pic:nvPicPr>
                    <pic:cNvPr descr="data:image/gif;base64,R0lGODlhAQABAIAAAAAAAP///yH5BAEAAAAALAAAAAABAAEAAAIBRAA7" id="26" name="Picture"/>
                    <pic:cNvPicPr>
                      <a:picLocks noChangeArrowheads="1" noChangeAspect="1"/>
                    </pic:cNvPicPr>
                  </pic:nvPicPr>
                  <pic:blipFill>
                    <a:blip r:embed="rId22"/>
                    <a:stretch>
                      <a:fillRect/>
                    </a:stretch>
                  </pic:blipFill>
                  <pic:spPr bwMode="auto">
                    <a:xfrm>
                      <a:off x="0" y="0"/>
                      <a:ext cx="9525" cy="9525"/>
                    </a:xfrm>
                    <a:prstGeom prst="rect">
                      <a:avLst/>
                    </a:prstGeom>
                    <a:noFill/>
                    <a:ln w="9525">
                      <a:noFill/>
                      <a:headEnd/>
                      <a:tailEnd/>
                    </a:ln>
                  </pic:spPr>
                </pic:pic>
              </a:graphicData>
            </a:graphic>
          </wp:inline>
        </w:drawing>
      </w:r>
    </w:p>
    <w:p>
      <w:pPr>
        <w:pStyle w:val="BodyText"/>
      </w:pPr>
      <w:r>
        <w:t xml:space="preserve">19.3%</w:t>
      </w:r>
    </w:p>
    <w:p>
      <w:pPr>
        <w:pStyle w:val="BodyText"/>
      </w:pPr>
      <w:r>
        <w:t xml:space="preserve">Top 20 Hotel Chains (e.g., Rixos, Four Seasons Istanbul), Cruise Operators</w:t>
      </w:r>
    </w:p>
    <w:p>
      <w:pPr>
        <w:pStyle w:val="BodyText"/>
      </w:pPr>
      <w:r>
        <w:t xml:space="preserve">Corporate Climate Risk Assessments</w:t>
      </w:r>
    </w:p>
    <w:p>
      <w:pPr>
        <w:pStyle w:val="BodyText"/>
      </w:pPr>
      <w:r>
        <w:t xml:space="preserve">975,000</w:t>
      </w:r>
    </w:p>
    <w:p>
      <w:pPr>
        <w:pStyle w:val="BodyText"/>
      </w:pPr>
      <w:r>
        <w:drawing>
          <wp:inline>
            <wp:extent cx="9525" cy="9525"/>
            <wp:effectExtent b="0" l="0" r="0" t="0"/>
            <wp:docPr descr="%" title="" id="27" name="Picture"/>
            <a:graphic>
              <a:graphicData uri="http://schemas.openxmlformats.org/drawingml/2006/picture">
                <pic:pic>
                  <pic:nvPicPr>
                    <pic:cNvPr descr="data:image/gif;base64,R0lGODlhAQABAIAAAAAAAP///yH5BAEAAAAALAAAAAABAAEAAAIBRAA7" id="28" name="Picture"/>
                    <pic:cNvPicPr>
                      <a:picLocks noChangeArrowheads="1" noChangeAspect="1"/>
                    </pic:cNvPicPr>
                  </pic:nvPicPr>
                  <pic:blipFill>
                    <a:blip r:embed="rId22"/>
                    <a:stretch>
                      <a:fillRect/>
                    </a:stretch>
                  </pic:blipFill>
                  <pic:spPr bwMode="auto">
                    <a:xfrm>
                      <a:off x="0" y="0"/>
                      <a:ext cx="9525" cy="9525"/>
                    </a:xfrm>
                    <a:prstGeom prst="rect">
                      <a:avLst/>
                    </a:prstGeom>
                    <a:noFill/>
                    <a:ln w="9525">
                      <a:noFill/>
                      <a:headEnd/>
                      <a:tailEnd/>
                    </a:ln>
                  </pic:spPr>
                </pic:pic>
              </a:graphicData>
            </a:graphic>
          </wp:inline>
        </w:drawing>
      </w:r>
    </w:p>
    <w:p>
      <w:pPr>
        <w:pStyle w:val="BodyText"/>
      </w:pPr>
      <w:r>
        <w:t xml:space="preserve">11.2%</w:t>
      </w:r>
    </w:p>
    <w:p>
      <w:pPr>
        <w:pStyle w:val="BodyText"/>
      </w:pPr>
      <w:r>
        <w:t xml:space="preserve">Construction Firms, Logistics Providers (e.g., Aras Group)</w:t>
      </w:r>
    </w:p>
    <w:bookmarkEnd w:id="29"/>
    <w:bookmarkStart w:id="30" w:name="key-sales-metrics-in-turkey-istanbul"/>
    <w:p>
      <w:pPr>
        <w:pStyle w:val="Heading3"/>
      </w:pPr>
      <w:r>
        <w:t xml:space="preserve">Key Sales Metrics in Turkey Istanbul</w:t>
      </w:r>
    </w:p>
    <w:p>
      <w:pPr>
        <w:numPr>
          <w:ilvl w:val="0"/>
          <w:numId w:val="1002"/>
        </w:numPr>
        <w:pStyle w:val="Compact"/>
      </w:pPr>
      <w:r>
        <w:rPr>
          <w:bCs/>
          <w:b/>
        </w:rPr>
        <w:t xml:space="preserve">Client Acquisition:</w:t>
      </w:r>
      <w:r>
        <w:t xml:space="preserve"> </w:t>
      </w:r>
      <w:r>
        <w:t xml:space="preserve">47 new enterprise contracts signed in Istanbul (vs. 29 in Q2), driven by AFAD's new flood-monitoring mandate.</w:t>
      </w:r>
    </w:p>
    <w:p>
      <w:pPr>
        <w:numPr>
          <w:ilvl w:val="0"/>
          <w:numId w:val="1002"/>
        </w:numPr>
        <w:pStyle w:val="Compact"/>
      </w:pPr>
      <w:r>
        <w:rPr>
          <w:bCs/>
          <w:b/>
        </w:rPr>
        <w:t xml:space="preserve">Sales Cycle Reduction:</w:t>
      </w:r>
      <w:r>
        <w:t xml:space="preserve"> </w:t>
      </w:r>
      <w:r>
        <w:t xml:space="preserve">Average contract negotiation time decreased from 60 to 38 days due to tailored proposals for Istanbul-specific risks.</w:t>
      </w:r>
    </w:p>
    <w:p>
      <w:pPr>
        <w:numPr>
          <w:ilvl w:val="0"/>
          <w:numId w:val="1002"/>
        </w:numPr>
        <w:pStyle w:val="Compact"/>
      </w:pPr>
      <w:r>
        <w:rPr>
          <w:bCs/>
          <w:b/>
        </w:rPr>
        <w:t xml:space="preserve">Customer Retention:</w:t>
      </w:r>
      <w:r>
        <w:t xml:space="preserve"> </w:t>
      </w:r>
      <w:r>
        <w:t xml:space="preserve">92% renewal rate among existing Istanbul clients, with the highest satisfaction (4.7/5) linked to our</w:t>
      </w:r>
      <w:r>
        <w:t xml:space="preserve"> </w:t>
      </w:r>
      <w:r>
        <w:rPr>
          <w:iCs/>
          <w:i/>
        </w:rPr>
        <w:t xml:space="preserve">Istanbul Urban Micro-Climate Model</w:t>
      </w:r>
      <w:r>
        <w:t xml:space="preserve">.</w:t>
      </w:r>
    </w:p>
    <w:bookmarkEnd w:id="30"/>
    <w:bookmarkEnd w:id="31"/>
    <w:bookmarkStart w:id="32" w:name="Xfc650f2ebe5a62c2ce79ea0d0ec5d0842b9ab83"/>
    <w:p>
      <w:pPr>
        <w:pStyle w:val="Heading2"/>
      </w:pPr>
      <w:r>
        <w:t xml:space="preserve">The Role of the Meteorologist: Beyond Forecasting</w:t>
      </w:r>
    </w:p>
    <w:p>
      <w:pPr>
        <w:pStyle w:val="FirstParagraph"/>
      </w:pPr>
      <w:r>
        <w:t xml:space="preserve">Modern meteorological sales success in Turkey Istanbul hinges on the expertise of certified</w:t>
      </w:r>
      <w:r>
        <w:t xml:space="preserve"> </w:t>
      </w:r>
      <w:r>
        <w:rPr>
          <w:bCs/>
          <w:b/>
        </w:rPr>
        <w:t xml:space="preserve">Meteorologist</w:t>
      </w:r>
      <w:r>
        <w:t xml:space="preserve"> </w:t>
      </w:r>
      <w:r>
        <w:t xml:space="preserve">professionals, who transform raw data into strategic assets. Unlike generic weather apps, our Istanbul-focused services:</w:t>
      </w:r>
    </w:p>
    <w:p>
      <w:pPr>
        <w:numPr>
          <w:ilvl w:val="0"/>
          <w:numId w:val="1003"/>
        </w:numPr>
        <w:pStyle w:val="Compact"/>
      </w:pPr>
      <w:r>
        <w:rPr>
          <w:bCs/>
          <w:b/>
        </w:rPr>
        <w:t xml:space="preserve">Integrate Local Topography:</w:t>
      </w:r>
      <w:r>
        <w:t xml:space="preserve"> </w:t>
      </w:r>
      <w:r>
        <w:t xml:space="preserve">Account for the Bosphorus’ "wind funnel effect" and mountain barriers impacting city-center forecasts.</w:t>
      </w:r>
    </w:p>
    <w:p>
      <w:pPr>
        <w:numPr>
          <w:ilvl w:val="0"/>
          <w:numId w:val="1003"/>
        </w:numPr>
        <w:pStyle w:val="Compact"/>
      </w:pPr>
      <w:r>
        <w:rPr>
          <w:bCs/>
          <w:b/>
        </w:rPr>
        <w:t xml:space="preserve">Predict Climate-Driven Events:</w:t>
      </w:r>
      <w:r>
        <w:t xml:space="preserve"> </w:t>
      </w:r>
      <w:r>
        <w:t xml:space="preserve">Forecasted the July 2023 storm (with 125mm rainfall in 4 hours) with 94% accuracy, preventing ₺1.8M in potential infrastructure damage for Istanbul Port.</w:t>
      </w:r>
    </w:p>
    <w:p>
      <w:pPr>
        <w:numPr>
          <w:ilvl w:val="0"/>
          <w:numId w:val="1003"/>
        </w:numPr>
        <w:pStyle w:val="Compact"/>
      </w:pPr>
      <w:r>
        <w:rPr>
          <w:bCs/>
          <w:b/>
        </w:rPr>
        <w:t xml:space="preserve">Provide Actionable Insights:</w:t>
      </w:r>
      <w:r>
        <w:t xml:space="preserve"> </w:t>
      </w:r>
      <w:r>
        <w:t xml:space="preserve">A tourism client reduced cancellations by 37% using our seasonal heatwave alerts during August peak season.</w:t>
      </w:r>
    </w:p>
    <w:bookmarkEnd w:id="32"/>
    <w:bookmarkStart w:id="33" w:name="competitive-landscape-differentiation"/>
    <w:p>
      <w:pPr>
        <w:pStyle w:val="Heading2"/>
      </w:pPr>
      <w:r>
        <w:t xml:space="preserve">Competitive Landscape &amp; Differentiation</w:t>
      </w:r>
    </w:p>
    <w:p>
      <w:pPr>
        <w:pStyle w:val="FirstParagraph"/>
      </w:pPr>
      <w:r>
        <w:t xml:space="preserve">The Turkey Istanbul market features global players (e.g., The Weather Company) and local firms. Our edge lies in:</w:t>
      </w:r>
      <w:r>
        <w:br/>
      </w:r>
      <w:r>
        <w:t xml:space="preserve">✅ Deep local knowledge: 100% of our forecasting team is based in Istanbul, with expertise in Anatolian and Black Sea weather systems.</w:t>
      </w:r>
      <w:r>
        <w:br/>
      </w:r>
      <w:r>
        <w:t xml:space="preserve">✅ Regulatory Alignment: Certified by Turkey's Meteorological Service (TİKA) for public-sector use.</w:t>
      </w:r>
      <w:r>
        <w:br/>
      </w:r>
      <w:r>
        <w:t xml:space="preserve">✅ Technology Investment: AI-driven "Istanbul Weather Grid" platform processing 50+ local data sources daily.</w:t>
      </w:r>
    </w:p>
    <w:bookmarkEnd w:id="33"/>
    <w:bookmarkStart w:id="34" w:name="challenges-strategic-response"/>
    <w:p>
      <w:pPr>
        <w:pStyle w:val="Heading2"/>
      </w:pPr>
      <w:r>
        <w:t xml:space="preserve">Challenges &amp; Strategic Response</w:t>
      </w:r>
    </w:p>
    <w:p>
      <w:pPr>
        <w:pStyle w:val="FirstParagraph"/>
      </w:pPr>
      <w:r>
        <w:t xml:space="preserve">Key challenges in the Istanbul market included:</w:t>
      </w:r>
    </w:p>
    <w:p>
      <w:pPr>
        <w:numPr>
          <w:ilvl w:val="0"/>
          <w:numId w:val="1004"/>
        </w:numPr>
        <w:pStyle w:val="Compact"/>
      </w:pPr>
      <w:r>
        <w:rPr>
          <w:iCs/>
          <w:i/>
        </w:rPr>
        <w:t xml:space="preserve">Price Sensitivity:</w:t>
      </w:r>
      <w:r>
        <w:t xml:space="preserve"> </w:t>
      </w:r>
      <w:r>
        <w:t xml:space="preserve">Addressed by bundling services (e.g., 3-month forecast + alerting for ₺185,000 vs. ₺235,000 à la carte).</w:t>
      </w:r>
    </w:p>
    <w:p>
      <w:pPr>
        <w:numPr>
          <w:ilvl w:val="0"/>
          <w:numId w:val="1004"/>
        </w:numPr>
        <w:pStyle w:val="Compact"/>
      </w:pPr>
      <w:r>
        <w:rPr>
          <w:iCs/>
          <w:i/>
        </w:rPr>
        <w:t xml:space="preserve">Competition from Free Apps:</w:t>
      </w:r>
      <w:r>
        <w:t xml:space="preserve"> </w:t>
      </w:r>
      <w:r>
        <w:t xml:space="preserve">Overcoming this through education on the commercial risk of inaccurate free forecasts (e.g., 68% of Istanbul hotels reported revenue loss from unforecasted rain during tourism season).</w:t>
      </w:r>
    </w:p>
    <w:bookmarkEnd w:id="34"/>
    <w:bookmarkStart w:id="35" w:name="q4-2023-outlook-recommendations"/>
    <w:p>
      <w:pPr>
        <w:pStyle w:val="Heading2"/>
      </w:pPr>
      <w:r>
        <w:t xml:space="preserve">Q4 2023 Outlook &amp; Recommendations</w:t>
      </w:r>
    </w:p>
    <w:p>
      <w:pPr>
        <w:pStyle w:val="FirstParagraph"/>
      </w:pPr>
      <w:r>
        <w:t xml:space="preserve">Growth opportunities in Turkey Istanbul are substantial. We project a 30%+ increase in sales for Q4 based on:</w:t>
      </w:r>
    </w:p>
    <w:p>
      <w:pPr>
        <w:numPr>
          <w:ilvl w:val="0"/>
          <w:numId w:val="1005"/>
        </w:numPr>
        <w:pStyle w:val="Compact"/>
      </w:pPr>
      <w:r>
        <w:t xml:space="preserve">New government contracts from Istanbul's Climate Action Plan (targeting net-zero by 2050).</w:t>
      </w:r>
    </w:p>
    <w:p>
      <w:pPr>
        <w:numPr>
          <w:ilvl w:val="0"/>
          <w:numId w:val="1005"/>
        </w:numPr>
        <w:pStyle w:val="Compact"/>
      </w:pPr>
      <w:r>
        <w:t xml:space="preserve">Expansion into renewable energy sector (wind/solar farms in Marmara region) requiring precise forecasting.</w:t>
      </w:r>
    </w:p>
    <w:p>
      <w:pPr>
        <w:numPr>
          <w:ilvl w:val="0"/>
          <w:numId w:val="1005"/>
        </w:numPr>
        <w:pStyle w:val="Compact"/>
      </w:pPr>
      <w:r>
        <w:t xml:space="preserve">Partnership with TÜBİTAK for academic research on climate resilience in Istanbul.</w:t>
      </w:r>
    </w:p>
    <w:bookmarkEnd w:id="35"/>
    <w:bookmarkStart w:id="36" w:name="Xfe69008d6a907592292b854ca6024d5ad30e1aa"/>
    <w:p>
      <w:pPr>
        <w:pStyle w:val="Heading2"/>
      </w:pPr>
      <w:r>
        <w:t xml:space="preserve">Conclusion: Meteorologist Expertise = Sales Value</w:t>
      </w:r>
    </w:p>
    <w:p>
      <w:pPr>
        <w:pStyle w:val="FirstParagraph"/>
      </w:pPr>
      <w:r>
        <w:t xml:space="preserve">This Sales Report underscores that in the competitive environment of Turkey Istanbul, meteorological services are not merely weather updates—they are strategic business assets. The demand for certified</w:t>
      </w:r>
      <w:r>
        <w:t xml:space="preserve"> </w:t>
      </w:r>
      <w:r>
        <w:rPr>
          <w:bCs/>
          <w:b/>
        </w:rPr>
        <w:t xml:space="preserve">Meteorologist</w:t>
      </w:r>
      <w:r>
        <w:t xml:space="preserve"> </w:t>
      </w:r>
      <w:r>
        <w:t xml:space="preserve">professionals continues to outpace supply, with Istanbul representing a market where every forecast directly impacts revenue, safety, and sustainability. As climate volatility intensifies across Turkey and the global South Caucasus region, our focus on hyperlocal accuracy—rooted in Istanbul's unique weather challenges—positions us as the indispensable partner for enterprises operating within this vital city. We recommend doubling down on talent development for Istanbul-based</w:t>
      </w:r>
      <w:r>
        <w:t xml:space="preserve"> </w:t>
      </w:r>
      <w:r>
        <w:rPr>
          <w:bCs/>
          <w:b/>
        </w:rPr>
        <w:t xml:space="preserve">Meteorologist</w:t>
      </w:r>
      <w:r>
        <w:t xml:space="preserve"> </w:t>
      </w:r>
      <w:r>
        <w:t xml:space="preserve">teams to meet escalating market demand, ensuring Turkey's largest metro area remains at the forefront of climate-resilient business operations.</w:t>
      </w:r>
    </w:p>
    <w:p>
      <w:pPr>
        <w:pStyle w:val="BodyText"/>
      </w:pPr>
      <w:r>
        <w:rPr>
          <w:iCs/>
          <w:i/>
        </w:rPr>
        <w:t xml:space="preserve">Sales Report Prepared By: Istanbul Climate Intelligence Division | Date: October 26, 2023 | For All Operations in Turkey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gif"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Turkey Istanbul Market</dc:title>
  <dc:creator/>
  <dc:language>en</dc:language>
  <cp:keywords/>
  <dcterms:created xsi:type="dcterms:W3CDTF">2025-12-11T00:54:33Z</dcterms:created>
  <dcterms:modified xsi:type="dcterms:W3CDTF">2025-12-11T00:54:33Z</dcterms:modified>
</cp:coreProperties>
</file>

<file path=docProps/custom.xml><?xml version="1.0" encoding="utf-8"?>
<Properties xmlns="http://schemas.openxmlformats.org/officeDocument/2006/custom-properties" xmlns:vt="http://schemas.openxmlformats.org/officeDocument/2006/docPropsVTypes"/>
</file>