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fb42cd4364c38467333a408c7ae5a88549a23cb"/>
    <w:p>
      <w:pPr>
        <w:pStyle w:val="Heading1"/>
      </w:pPr>
      <w:r>
        <w:t xml:space="preserve">Quarterly Sales Report: Advanced Meteorological Solutions for United Kingdom London Markets</w:t>
      </w:r>
    </w:p>
    <w:bookmarkStart w:id="20" w:name="executive-summary"/>
    <w:p>
      <w:pPr>
        <w:pStyle w:val="Heading2"/>
      </w:pPr>
      <w:r>
        <w:t xml:space="preserve">Executive Summary</w:t>
      </w:r>
    </w:p>
    <w:p>
      <w:pPr>
        <w:pStyle w:val="FirstParagraph"/>
      </w:pPr>
      <w:r>
        <w:t xml:space="preserve">This report details the Q3 2024 sales performance of our premium meteorological services across the United Kingdom, with a strategic focus on London as the primary commercial hub. The period witnessed significant growth in demand for hyper-localised weather intelligence, driven by London's complex urban climate challenges and increasing regulatory requirements for weather-sensitive industries. Total revenue for Meteorologist-led solutions reached £1.82M, marking a 24% year-on-year increase and surpassing Q3 targets by 17%. The United Kingdom London market contributed 63% of global sales, underscoring its critical role as our flagship region.</w:t>
      </w:r>
    </w:p>
    <w:bookmarkEnd w:id="20"/>
    <w:bookmarkStart w:id="21" w:name="X21554e4ee300a61888f33808efdac95e8a4e0c6"/>
    <w:p>
      <w:pPr>
        <w:pStyle w:val="Heading2"/>
      </w:pPr>
      <w:r>
        <w:t xml:space="preserve">Market Context: Why London Demands Advanced Meteorological Services</w:t>
      </w:r>
    </w:p>
    <w:p>
      <w:pPr>
        <w:pStyle w:val="FirstParagraph"/>
      </w:pPr>
      <w:r>
        <w:t xml:space="preserve">London’s unique environmental landscape—characterised by the urban heat island effect, microclimate variations across boroughs (e.g., temperature differentials of up to 5°C between Westminster and East Ham), and frequent extreme weather events—creates unparalleled demand for specialised meteorological expertise. The United Kingdom’s Climate Change Act 2008 mandates sector-specific climate risk assessments, directly boosting sales opportunities for our Meteorologist-certified forecasting platforms. Key London industries driving this trend include:</w:t>
      </w:r>
    </w:p>
    <w:p>
      <w:pPr>
        <w:numPr>
          <w:ilvl w:val="0"/>
          <w:numId w:val="1001"/>
        </w:numPr>
        <w:pStyle w:val="Compact"/>
      </w:pPr>
      <w:r>
        <w:rPr>
          <w:bCs/>
          <w:b/>
        </w:rPr>
        <w:t xml:space="preserve">Construction &amp; Infrastructure:</w:t>
      </w:r>
      <w:r>
        <w:t xml:space="preserve"> </w:t>
      </w:r>
      <w:r>
        <w:t xml:space="preserve">Major projects like the Thames Tideway Tunnel require precise precipitation and wind forecasts to prevent costly delays.</w:t>
      </w:r>
    </w:p>
    <w:p>
      <w:pPr>
        <w:numPr>
          <w:ilvl w:val="0"/>
          <w:numId w:val="1001"/>
        </w:numPr>
        <w:pStyle w:val="Compact"/>
      </w:pPr>
      <w:r>
        <w:rPr>
          <w:bCs/>
          <w:b/>
        </w:rPr>
        <w:t xml:space="preserve">Retail &amp; Logistics:</w:t>
      </w:r>
      <w:r>
        <w:t xml:space="preserve"> </w:t>
      </w:r>
      <w:r>
        <w:t xml:space="preserve">National chains (e.g., Tesco, Sainsbury’s) deploy our services for dynamic inventory planning during London’s volatile seasonal shifts.</w:t>
      </w:r>
    </w:p>
    <w:p>
      <w:pPr>
        <w:numPr>
          <w:ilvl w:val="0"/>
          <w:numId w:val="1001"/>
        </w:numPr>
        <w:pStyle w:val="Compact"/>
      </w:pPr>
      <w:r>
        <w:rPr>
          <w:bCs/>
          <w:b/>
        </w:rPr>
        <w:t xml:space="preserve">Aviation &amp; Transport:</w:t>
      </w:r>
      <w:r>
        <w:t xml:space="preserve"> </w:t>
      </w:r>
      <w:r>
        <w:t xml:space="preserve">Heathrow Airport utilises real-time turbulence and visibility data from our Meteorologist team to optimise scheduling.</w:t>
      </w:r>
    </w:p>
    <w:bookmarkEnd w:id="21"/>
    <w:bookmarkStart w:id="24" w:name="X49b0e2cdb247cc4ae5411c39f05bb0bb769f222"/>
    <w:p>
      <w:pPr>
        <w:pStyle w:val="Heading2"/>
      </w:pPr>
      <w:r>
        <w:t xml:space="preserve">Q3 2024 Sales Performance: United Kingdom London Focus</w:t>
      </w:r>
    </w:p>
    <w:p>
      <w:pPr>
        <w:pStyle w:val="FirstParagraph"/>
      </w:pPr>
      <w:r>
        <w:t xml:space="preserve">The London market delivered exceptional results, with the following key achievements:</w:t>
      </w:r>
    </w:p>
    <w:bookmarkStart w:id="22" w:name="revenue-breakdown-by-sector-london-only"/>
    <w:p>
      <w:pPr>
        <w:pStyle w:val="Heading3"/>
      </w:pPr>
      <w:r>
        <w:t xml:space="preserve">Revenue Breakdown by Sector (London-Only)</w:t>
      </w:r>
    </w:p>
    <w:p>
      <w:pPr>
        <w:pStyle w:val="FirstParagraph"/>
      </w:pPr>
      <w:r>
        <w:t xml:space="preserve">Sector</w:t>
      </w:r>
    </w:p>
    <w:p>
      <w:pPr>
        <w:pStyle w:val="BodyText"/>
      </w:pPr>
      <w:r>
        <w:t xml:space="preserve">Revenue (£)</w:t>
      </w:r>
    </w:p>
    <w:p>
      <w:pPr>
        <w:pStyle w:val="BodyText"/>
      </w:pPr>
      <w:r>
        <w:t xml:space="preserve">% of London Total</w:t>
      </w:r>
    </w:p>
    <w:p>
      <w:pPr>
        <w:pStyle w:val="BodyText"/>
      </w:pPr>
      <w:r>
        <w:t xml:space="preserve">YoY Growth</w:t>
      </w:r>
    </w:p>
    <w:p>
      <w:pPr>
        <w:pStyle w:val="BodyText"/>
      </w:pPr>
      <w:r>
        <w:t xml:space="preserve">Infrastructure Development</w:t>
      </w:r>
    </w:p>
    <w:p>
      <w:pPr>
        <w:pStyle w:val="BodyText"/>
      </w:pPr>
      <w:r>
        <w:t xml:space="preserve">782,000</w:t>
      </w:r>
    </w:p>
    <w:p>
      <w:pPr>
        <w:pStyle w:val="BodyText"/>
      </w:pPr>
      <w:r>
        <w:t xml:space="preserve">43%</w:t>
      </w:r>
    </w:p>
    <w:p>
      <w:pPr>
        <w:pStyle w:val="BodyText"/>
      </w:pPr>
      <w:r>
        <w:t xml:space="preserve">+31%</w:t>
      </w:r>
    </w:p>
    <w:p>
      <w:pPr>
        <w:pStyle w:val="BodyText"/>
      </w:pPr>
      <w:r>
        <w:t xml:space="preserve">Airport Operations</w:t>
      </w:r>
    </w:p>
    <w:p>
      <w:pPr>
        <w:pStyle w:val="BodyText"/>
      </w:pPr>
      <w:r>
        <w:t xml:space="preserve">456,000</w:t>
      </w:r>
    </w:p>
    <w:p>
      <w:pPr>
        <w:pStyle w:val="BodyText"/>
      </w:pPr>
      <w:r>
        <w:t xml:space="preserve">25%</w:t>
      </w:r>
    </w:p>
    <w:p>
      <w:pPr>
        <w:pStyle w:val="BodyText"/>
      </w:pPr>
      <w:r>
        <w:t xml:space="preserve">+19%</w:t>
      </w:r>
    </w:p>
    <w:p>
      <w:pPr>
        <w:pStyle w:val="BodyText"/>
      </w:pPr>
      <w:r>
        <w:t xml:space="preserve">Retail &amp; Supply Chain</w:t>
      </w:r>
    </w:p>
    <w:p>
      <w:pPr>
        <w:pStyle w:val="BodyText"/>
      </w:pPr>
      <w:r>
        <w:t xml:space="preserve">398,000</w:t>
      </w:r>
    </w:p>
    <w:p>
      <w:pPr>
        <w:pStyle w:val="BodyText"/>
      </w:pPr>
      <w:r>
        <w:t xml:space="preserve">22%</w:t>
      </w:r>
    </w:p>
    <w:p>
      <w:pPr>
        <w:pStyle w:val="BodyText"/>
      </w:pPr>
      <w:r>
        <w:t xml:space="preserve">+37%</w:t>
      </w:r>
    </w:p>
    <w:p>
      <w:pPr>
        <w:pStyle w:val="BodyText"/>
      </w:pPr>
      <w:r>
        <w:t xml:space="preserve">184,000</w:t>
      </w:r>
    </w:p>
    <w:p>
      <w:pPr>
        <w:pStyle w:val="BodyText"/>
      </w:pPr>
      <w:r>
        <w:t xml:space="preserve">10%+28%</w:t>
      </w:r>
    </w:p>
    <w:p>
      <w:pPr>
        <w:pStyle w:val="BodyText"/>
      </w:pPr>
      <w:r>
        <w:t xml:space="preserve">The 37% YoY growth in Retail &amp; Supply Chain sales directly correlates with London’s 2024 heatwave (July 15–28), which disrupted traditional seasonal planning. Our Meteorologist team delivered predictive analytics that enabled clients to avert £4.7M in potential losses through proactive stock reallocation.</w:t>
      </w:r>
    </w:p>
    <w:bookmarkEnd w:id="22"/>
    <w:bookmarkStart w:id="23" w:name="client-acquisition-retention"/>
    <w:p>
      <w:pPr>
        <w:pStyle w:val="Heading3"/>
      </w:pPr>
      <w:r>
        <w:t xml:space="preserve">Client Acquisition &amp; Retention</w:t>
      </w:r>
    </w:p>
    <w:p>
      <w:pPr>
        <w:pStyle w:val="FirstParagraph"/>
      </w:pPr>
      <w:r>
        <w:t xml:space="preserve">London-based client acquisition increased by 19% YoY, with 28 new enterprise contracts secured—most notably from Canary Wharf’s financial district firms requiring high-precision wind forecasts for drone deliveries. Crucially, the retention rate for Meteorologist-serviced clients reached 92%, significantly above the industry benchmark of 76%. This loyalty stems from our tailored London-specific insights, such as:</w:t>
      </w:r>
    </w:p>
    <w:p>
      <w:pPr>
        <w:numPr>
          <w:ilvl w:val="0"/>
          <w:numId w:val="1002"/>
        </w:numPr>
        <w:pStyle w:val="Compact"/>
      </w:pPr>
      <w:r>
        <w:t xml:space="preserve">Real-time air quality predictions across boroughs (e.g., PM2.5 levels in central London during rush hour)</w:t>
      </w:r>
    </w:p>
    <w:p>
      <w:pPr>
        <w:numPr>
          <w:ilvl w:val="0"/>
          <w:numId w:val="1002"/>
        </w:numPr>
        <w:pStyle w:val="Compact"/>
      </w:pPr>
      <w:r>
        <w:t xml:space="preserve">Custom flood risk models for properties near the River Thames</w:t>
      </w:r>
    </w:p>
    <w:p>
      <w:pPr>
        <w:numPr>
          <w:ilvl w:val="0"/>
          <w:numId w:val="1002"/>
        </w:numPr>
        <w:pStyle w:val="Compact"/>
      </w:pPr>
      <w:r>
        <w:t xml:space="preserve">Event-specific forecasting (e.g., weather impact analysis for Wimbledon 2024)</w:t>
      </w:r>
    </w:p>
    <w:bookmarkEnd w:id="23"/>
    <w:bookmarkEnd w:id="24"/>
    <w:bookmarkStart w:id="25" w:name="Xb43c6c8010b37010b0939e26fe663504e32a4c5"/>
    <w:p>
      <w:pPr>
        <w:pStyle w:val="Heading2"/>
      </w:pPr>
      <w:r>
        <w:t xml:space="preserve">The Value of a Certified Meteorologist in London’s Market</w:t>
      </w:r>
    </w:p>
    <w:p>
      <w:pPr>
        <w:pStyle w:val="FirstParagraph"/>
      </w:pPr>
      <w:r>
        <w:t xml:space="preserve">Our Sales Report consistently highlights that clients prioritise engagement with certified Meteorologists over generic weather APIs. In Q3, contracts including dedicated Meteorologist consultation delivered 50% higher average contract values than base-platform services. This premium reflects the need for contextual expertise—London’s weather cannot be managed by off-the-shelf solutions.</w:t>
      </w:r>
    </w:p>
    <w:p>
      <w:pPr>
        <w:pStyle w:val="BodyText"/>
      </w:pPr>
      <w:r>
        <w:t xml:space="preserve">For instance, during the July 2024 “Thames Valley Bomb Cyclone,” our London-based Meteorologist team identified a rare pressure gradient shift missed by national models. This enabled a major construction client to evacuate equipment ahead of schedule, saving £1.3M in potential damages. Such outcomes are exclusively achievable through human-led meteorological analysis combined with AI augmentation.</w:t>
      </w:r>
    </w:p>
    <w:bookmarkEnd w:id="25"/>
    <w:bookmarkStart w:id="26" w:name="Xd22f8586272713a15ac5bb117fd02424f586d7b"/>
    <w:p>
      <w:pPr>
        <w:pStyle w:val="Heading2"/>
      </w:pPr>
      <w:r>
        <w:t xml:space="preserve">Competitive Landscape &amp; Strategic Positioning</w:t>
      </w:r>
    </w:p>
    <w:p>
      <w:pPr>
        <w:pStyle w:val="FirstParagraph"/>
      </w:pPr>
      <w:r>
        <w:t xml:space="preserve">The United Kingdom London market remains fiercely competitive, with 14 key players vying for enterprise contracts. However, our differentiator is the local presence of qualified Meteorologists—78% of our UK sales team are based within London or its immediate commuter belt. This allows for:</w:t>
      </w:r>
    </w:p>
    <w:p>
      <w:pPr>
        <w:numPr>
          <w:ilvl w:val="0"/>
          <w:numId w:val="1003"/>
        </w:numPr>
        <w:pStyle w:val="Compact"/>
      </w:pPr>
      <w:r>
        <w:t xml:space="preserve">On-ground validation of weather models (e.g., deploying sensor networks in specific London parks)</w:t>
      </w:r>
    </w:p>
    <w:p>
      <w:pPr>
        <w:numPr>
          <w:ilvl w:val="0"/>
          <w:numId w:val="1003"/>
        </w:numPr>
        <w:pStyle w:val="Compact"/>
      </w:pPr>
      <w:r>
        <w:t xml:space="preserve">Immediate response to emerging threats (e.g., last-minute storm warnings for Olympic Stadium events)</w:t>
      </w:r>
    </w:p>
    <w:p>
      <w:pPr>
        <w:numPr>
          <w:ilvl w:val="0"/>
          <w:numId w:val="1003"/>
        </w:numPr>
        <w:pStyle w:val="Compact"/>
      </w:pPr>
      <w:r>
        <w:t xml:space="preserve">Cultural alignment with London business rhythms (e.g., scheduling briefings before City of London trading hours)</w:t>
      </w:r>
    </w:p>
    <w:bookmarkEnd w:id="26"/>
    <w:bookmarkStart w:id="27" w:name="q4-2024-strategic-recommendations"/>
    <w:p>
      <w:pPr>
        <w:pStyle w:val="Heading2"/>
      </w:pPr>
      <w:r>
        <w:t xml:space="preserve">Q4 2024 Strategic Recommendations</w:t>
      </w:r>
    </w:p>
    <w:p>
      <w:pPr>
        <w:pStyle w:val="FirstParagraph"/>
      </w:pPr>
      <w:r>
        <w:t xml:space="preserve">Based on Q3’s success, we recommend the following actions to capitalise on the United Kingdom London market:</w:t>
      </w:r>
    </w:p>
    <w:p>
      <w:pPr>
        <w:numPr>
          <w:ilvl w:val="0"/>
          <w:numId w:val="1004"/>
        </w:numPr>
        <w:pStyle w:val="Compact"/>
      </w:pPr>
      <w:r>
        <w:rPr>
          <w:bCs/>
          <w:b/>
        </w:rPr>
        <w:t xml:space="preserve">Expand Meteorologist Headcount in London:</w:t>
      </w:r>
      <w:r>
        <w:t xml:space="preserve"> </w:t>
      </w:r>
      <w:r>
        <w:t xml:space="preserve">Hire 15 additional certified Meteorologists by Q1 2025 to support anticipated demand from new infrastructure projects (e.g., HS2 Phase 2).</w:t>
      </w:r>
    </w:p>
    <w:p>
      <w:pPr>
        <w:numPr>
          <w:ilvl w:val="0"/>
          <w:numId w:val="1004"/>
        </w:numPr>
        <w:pStyle w:val="Compact"/>
      </w:pPr>
      <w:r>
        <w:rPr>
          <w:bCs/>
          <w:b/>
        </w:rPr>
        <w:t xml:space="preserve">Prioritise Public Sector Contracts:</w:t>
      </w:r>
      <w:r>
        <w:t xml:space="preserve"> </w:t>
      </w:r>
      <w:r>
        <w:t xml:space="preserve">Leverage the UK Government’s Climate Resilience Fund for London boroughs (allocated £80M in 2024) to secure municipal forecasting contracts.</w:t>
      </w:r>
    </w:p>
    <w:p>
      <w:pPr>
        <w:numPr>
          <w:ilvl w:val="0"/>
          <w:numId w:val="1004"/>
        </w:numPr>
        <w:pStyle w:val="Compact"/>
      </w:pPr>
      <w:r>
        <w:rPr>
          <w:bCs/>
          <w:b/>
        </w:rPr>
        <w:t xml:space="preserve">Develop Borough-Specific Packages:</w:t>
      </w:r>
      <w:r>
        <w:t xml:space="preserve"> </w:t>
      </w:r>
      <w:r>
        <w:t xml:space="preserve">Create tailored offerings for distinct London zones (e.g., “East London Coastal Flood Protection” bundle).</w:t>
      </w:r>
    </w:p>
    <w:bookmarkEnd w:id="27"/>
    <w:bookmarkStart w:id="28" w:name="conclusion"/>
    <w:p>
      <w:pPr>
        <w:pStyle w:val="Heading2"/>
      </w:pPr>
      <w:r>
        <w:t xml:space="preserve">Conclusion</w:t>
      </w:r>
    </w:p>
    <w:p>
      <w:pPr>
        <w:pStyle w:val="FirstParagraph"/>
      </w:pPr>
      <w:r>
        <w:t xml:space="preserve">The Q3 2024 Sales Report confirms that the United Kingdom London market is not merely a sales territory—it is the epicentre of demand for expert Meteorological services. Our investment in localised Meteorologist talent has directly driven revenue growth, client retention, and industry leadership. As climate volatility intensifies across London’s urban environment, the value proposition of human-led meteorological expertise becomes increasingly indispensable. The 24% YoY sales surge in this market is not a fleeting trend but a sustainable shift towards data-driven weather intelligence as a core business requirement for London enterprises. We enter Q4 with heightened confidence that our Meteorologist-focused strategy will continue to dominate the United Kingdom’s most critical weather-sensitive market.</w:t>
      </w:r>
    </w:p>
    <w:p>
      <w:pPr>
        <w:pStyle w:val="BodyText"/>
      </w:pPr>
      <w:r>
        <w:rPr>
          <w:bCs/>
          <w:b/>
        </w:rPr>
        <w:t xml:space="preserve">Prepared by:</w:t>
      </w:r>
      <w:r>
        <w:t xml:space="preserve"> </w:t>
      </w:r>
      <w:r>
        <w:t xml:space="preserve">Sales Intelligence Division | Global Weather Solutions Group</w:t>
      </w:r>
      <w:r>
        <w:br/>
      </w:r>
      <w:r>
        <w:rPr>
          <w:bCs/>
          <w:b/>
        </w:rPr>
        <w:t xml:space="preserve">Date:</w:t>
      </w:r>
      <w:r>
        <w:t xml:space="preserve"> </w:t>
      </w:r>
      <w:r>
        <w:t xml:space="preserve">October 26, 2024</w:t>
      </w:r>
      <w:r>
        <w:br/>
      </w:r>
      <w:r>
        <w:rPr>
          <w:bCs/>
          <w:b/>
        </w:rPr>
        <w:t xml:space="preserve">Market Focus:</w:t>
      </w:r>
      <w:r>
        <w:t xml:space="preserve"> </w:t>
      </w:r>
      <w:r>
        <w:t xml:space="preserve">United Kingdom London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Meteorological Services in United Kingdom London</dc:title>
  <dc:creator/>
  <dc:language>en</dc:language>
  <cp:keywords/>
  <dcterms:created xsi:type="dcterms:W3CDTF">2026-07-24T08:51:04Z</dcterms:created>
  <dcterms:modified xsi:type="dcterms:W3CDTF">2026-07-24T08:51:04Z</dcterms:modified>
</cp:coreProperties>
</file>

<file path=docProps/custom.xml><?xml version="1.0" encoding="utf-8"?>
<Properties xmlns="http://schemas.openxmlformats.org/officeDocument/2006/custom-properties" xmlns:vt="http://schemas.openxmlformats.org/officeDocument/2006/docPropsVTypes"/>
</file>