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Performance</w:t>
      </w:r>
      <w:r>
        <w:t xml:space="preserve"> </w:t>
      </w:r>
      <w:r>
        <w:t xml:space="preserve">in</w:t>
      </w:r>
      <w:r>
        <w:t xml:space="preserve"> </w:t>
      </w:r>
      <w:r>
        <w:t xml:space="preserve">Australia</w:t>
      </w:r>
      <w:r>
        <w:t xml:space="preserve"> </w:t>
      </w:r>
      <w:r>
        <w:t xml:space="preserve">Sydney</w:t>
      </w:r>
    </w:p>
    <w:bookmarkStart w:id="26" w:name="X419e131cf5c7db4284f817e160326caa9235228"/>
    <w:p>
      <w:pPr>
        <w:pStyle w:val="Heading1"/>
      </w:pPr>
      <w:r>
        <w:t xml:space="preserve">Sales Report: Midwifery Services Performance in Australia Sydney - Q3 2023</w:t>
      </w:r>
    </w:p>
    <w:p>
      <w:pPr>
        <w:pStyle w:val="FirstParagraph"/>
      </w:pPr>
      <w:r>
        <w:rPr>
          <w:bCs/>
          <w:b/>
        </w:rPr>
        <w:t xml:space="preserve">Prepared for:</w:t>
      </w:r>
      <w:r>
        <w:t xml:space="preserve"> </w:t>
      </w:r>
      <w:r>
        <w:t xml:space="preserve">Sydney Midwifery Collective Management</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iCs/>
          <w:i/>
        </w:rPr>
        <w:t xml:space="preserve">This Sales Report details the performance metrics of midwifery service delivery across Greater Sydney, Australia. All data reflects private practice and public sector partnerships within Australia Sydney region.</w:t>
      </w:r>
    </w:p>
    <w:bookmarkStart w:id="20" w:name="executive-summary"/>
    <w:p>
      <w:pPr>
        <w:pStyle w:val="Heading2"/>
      </w:pPr>
      <w:r>
        <w:t xml:space="preserve">Executive Summary</w:t>
      </w:r>
    </w:p>
    <w:p>
      <w:pPr>
        <w:pStyle w:val="FirstParagraph"/>
      </w:pPr>
      <w:r>
        <w:t xml:space="preserve">The Q3 2023 Sales Report for Midwifery Services in Australia Sydney demonstrates robust growth in service uptake, with a 14.7% increase in client acquisition compared to Q2. This performance exceeds regional industry benchmarks by 8.3%, positioning our midwifery practice as a leading provider within the Australian healthcare landscape. Key drivers include expanded telehealth services, strategic partnerships with Sydney maternity hospitals, and targeted community outreach initiatives across high-demand suburbs including Parramatta, Bondi Junction, and the Inner West. As Australia's largest urban center continues to experience rising birth rates (6% year-on-year), this Sales Report underscores the critical role of accessible midwifery care in supporting maternal health outcomes across Sydney.</w:t>
      </w:r>
    </w:p>
    <w:bookmarkEnd w:id="20"/>
    <w:bookmarkStart w:id="21" w:name="key-performance-indicators"/>
    <w:p>
      <w:pPr>
        <w:pStyle w:val="Heading2"/>
      </w:pPr>
      <w:r>
        <w:t xml:space="preserve">Key Performance Indicators</w:t>
      </w:r>
    </w:p>
    <w:p>
      <w:pPr>
        <w:pStyle w:val="FirstParagraph"/>
      </w:pPr>
      <w:r>
        <w:t xml:space="preserve">Our comprehensive Sales Report tracks three core pillars: client acquisition, service revenue, and patient satisfaction. In Australia Sydney specifically:</w:t>
      </w:r>
    </w:p>
    <w:p>
      <w:pPr>
        <w:numPr>
          <w:ilvl w:val="0"/>
          <w:numId w:val="1001"/>
        </w:numPr>
        <w:pStyle w:val="Compact"/>
      </w:pPr>
      <w:r>
        <w:rPr>
          <w:bCs/>
          <w:b/>
        </w:rPr>
        <w:t xml:space="preserve">New Client Acquisition:</w:t>
      </w:r>
      <w:r>
        <w:t xml:space="preserve"> </w:t>
      </w:r>
      <w:r>
        <w:t xml:space="preserve">187 new prenatal registrations (vs 163 in Q2), with 62% originating from digital campaigns targeting expectant parents in Sydney's Eastern Suburbs</w:t>
      </w:r>
    </w:p>
    <w:p>
      <w:pPr>
        <w:numPr>
          <w:ilvl w:val="0"/>
          <w:numId w:val="1001"/>
        </w:numPr>
        <w:pStyle w:val="Compact"/>
      </w:pPr>
      <w:r>
        <w:rPr>
          <w:bCs/>
          <w:b/>
        </w:rPr>
        <w:t xml:space="preserve">Revenue Streams:</w:t>
      </w:r>
      <w:r>
        <w:t xml:space="preserve"> </w:t>
      </w:r>
      <w:r>
        <w:t xml:space="preserve">$345,800 total revenue (excluding public health contracts), representing a 17.2% quarter-over-quarter increase. Private consultations account for 78% of income, while hospital partnership programs contributed 22%</w:t>
      </w:r>
    </w:p>
    <w:p>
      <w:pPr>
        <w:numPr>
          <w:ilvl w:val="0"/>
          <w:numId w:val="1001"/>
        </w:numPr>
        <w:pStyle w:val="Compact"/>
      </w:pPr>
      <w:r>
        <w:rPr>
          <w:bCs/>
          <w:b/>
        </w:rPr>
        <w:t xml:space="preserve">Patient Satisfaction:</w:t>
      </w:r>
      <w:r>
        <w:t xml:space="preserve"> </w:t>
      </w:r>
      <w:r>
        <w:t xml:space="preserve">94.3% positive feedback on the midwifery service experience (compared to industry average of 89.1%), with particular praise for continuity of care and cultural sensitivity in Sydney's diverse population</w:t>
      </w:r>
    </w:p>
    <w:p>
      <w:pPr>
        <w:pStyle w:val="FirstParagraph"/>
      </w:pPr>
      <w:r>
        <w:rPr>
          <w:bCs/>
          <w:b/>
        </w:rPr>
        <w:t xml:space="preserve">Strategic Insight:</w:t>
      </w:r>
      <w:r>
        <w:t xml:space="preserve"> </w:t>
      </w:r>
      <w:r>
        <w:t xml:space="preserve">The Sales Report identifies "cultural competency" as the #1 differentiator in Australia Sydney's competitive midwifery market. Our practice achieved 32% higher client retention among Aboriginal and Torres Strait Islander families through tailored service protocols developed in consultation with NSW Aboriginal Health Services.</w:t>
      </w:r>
    </w:p>
    <w:bookmarkEnd w:id="21"/>
    <w:bookmarkStart w:id="22" w:name="X012c47fdbc7122aa3846be2578784632487fb61"/>
    <w:p>
      <w:pPr>
        <w:pStyle w:val="Heading2"/>
      </w:pPr>
      <w:r>
        <w:t xml:space="preserve">Market Analysis: Australia Sydney Midwifery Landscape</w:t>
      </w:r>
    </w:p>
    <w:p>
      <w:pPr>
        <w:pStyle w:val="FirstParagraph"/>
      </w:pPr>
      <w:r>
        <w:t xml:space="preserve">This Sales Report contextualizes performance within Sydney's unique healthcare ecosystem. With over 48,000 births annually across the Greater Sydney region, demand for midwife-led care has surged due to rising preference for natural birth options (up 23% since 2021). The NSW Government's "Midwifery in Hospital" initiative has created significant opportunity, with our practice securing contracts at Royal Prince Alfred Hospital and Nepean Hospital. Notably:</w:t>
      </w:r>
    </w:p>
    <w:p>
      <w:pPr>
        <w:numPr>
          <w:ilvl w:val="0"/>
          <w:numId w:val="1002"/>
        </w:numPr>
        <w:pStyle w:val="Compact"/>
      </w:pPr>
      <w:r>
        <w:t xml:space="preserve">76% of our Sydney clients requested care from a midwife specifically due to positive referrals within Australia's maternity support networks</w:t>
      </w:r>
    </w:p>
    <w:p>
      <w:pPr>
        <w:numPr>
          <w:ilvl w:val="0"/>
          <w:numId w:val="1002"/>
        </w:numPr>
        <w:pStyle w:val="Compact"/>
      </w:pPr>
      <w:r>
        <w:t xml:space="preserve">31% increase in telehealth consultations during Q3, reflecting growing acceptance of digital health solutions across Sydney suburbs</w:t>
      </w:r>
    </w:p>
    <w:p>
      <w:pPr>
        <w:numPr>
          <w:ilvl w:val="0"/>
          <w:numId w:val="1002"/>
        </w:numPr>
        <w:pStyle w:val="Compact"/>
      </w:pPr>
      <w:r>
        <w:t xml:space="preserve">Pricing strategy remains competitive: $250 per prenatal visit (vs market average of $275), with bundled care packages driving 41% of new business</w:t>
      </w:r>
    </w:p>
    <w:bookmarkEnd w:id="22"/>
    <w:bookmarkStart w:id="23" w:name="Xceb80b61a6b041d4945198a6e663d63a921544f"/>
    <w:p>
      <w:pPr>
        <w:pStyle w:val="Heading2"/>
      </w:pPr>
      <w:r>
        <w:t xml:space="preserve">Sales Activity Breakdown by Sydney Region</w:t>
      </w:r>
    </w:p>
    <w:p>
      <w:pPr>
        <w:pStyle w:val="FirstParagraph"/>
      </w:pPr>
      <w:r>
        <w:t xml:space="preserve">Geographic analysis from our Sales Report reveals distinct patterns across Australia Sydney: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Suburb Region</w:t>
            </w:r>
          </w:p>
        </w:tc>
        <w:tc>
          <w:tcPr/>
          <w:p>
            <w:pPr>
              <w:pStyle w:val="Compact"/>
              <w:jc w:val="left"/>
            </w:pPr>
            <w:r>
              <w:t xml:space="preserve">New Clients</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Parramatta &amp; Western Sydney</w:t>
            </w:r>
          </w:p>
        </w:tc>
        <w:tc>
          <w:tcPr/>
          <w:p>
            <w:pPr>
              <w:pStyle w:val="Compact"/>
              <w:jc w:val="left"/>
            </w:pPr>
            <w:r>
              <w:t xml:space="preserve">48 (+19.3%)</w:t>
            </w:r>
          </w:p>
        </w:tc>
        <w:tc>
          <w:tcPr/>
          <w:p>
            <w:pPr>
              <w:pStyle w:val="Compact"/>
              <w:jc w:val="left"/>
            </w:pPr>
            <w:r>
              <w:t xml:space="preserve">28%</w:t>
            </w:r>
          </w:p>
        </w:tc>
        <w:tc>
          <w:tcPr/>
          <w:p>
            <w:pPr>
              <w:pStyle w:val="Compact"/>
              <w:jc w:val="left"/>
            </w:pPr>
            <w:r>
              <w:t xml:space="preserve">16.7% (Highest growth)</w:t>
            </w:r>
          </w:p>
        </w:tc>
      </w:tr>
      <w:tr>
        <w:tc>
          <w:tcPr/>
          <w:p>
            <w:pPr>
              <w:pStyle w:val="Compact"/>
              <w:jc w:val="left"/>
            </w:pPr>
            <w:r>
              <w:t xml:space="preserve">Sydney CBD &amp; Eastern Suburbs</w:t>
            </w:r>
          </w:p>
        </w:tc>
        <w:tc>
          <w:tcPr/>
          <w:p>
            <w:pPr>
              <w:pStyle w:val="Compact"/>
              <w:jc w:val="left"/>
            </w:pPr>
            <w:r>
              <w:t xml:space="preserve">57 (+12.5%)</w:t>
            </w:r>
          </w:p>
        </w:tc>
        <w:tc>
          <w:tcPr/>
          <w:p>
            <w:pPr>
              <w:pStyle w:val="Compact"/>
              <w:jc w:val="left"/>
            </w:pPr>
            <w:r>
              <w:t xml:space="preserve">38%</w:t>
            </w:r>
          </w:p>
        </w:tc>
        <w:tc>
          <w:tcPr/>
          <w:p>
            <w:pPr>
              <w:pStyle w:val="Compact"/>
              <w:jc w:val="left"/>
            </w:pPr>
            <w:r>
              <w:t xml:space="preserve">14.2%</w:t>
            </w:r>
          </w:p>
        </w:tc>
      </w:tr>
      <w:tr>
        <w:tc>
          <w:tcPr/>
          <w:p>
            <w:pPr>
              <w:pStyle w:val="Compact"/>
              <w:jc w:val="left"/>
            </w:pPr>
            <w:r>
              <w:t xml:space="preserve">Inner West &amp; South Sydney</w:t>
            </w:r>
          </w:p>
        </w:tc>
        <w:tc>
          <w:tcPr/>
          <w:p>
            <w:pPr>
              <w:pStyle w:val="Compact"/>
              <w:jc w:val="left"/>
            </w:pPr>
            <w:r>
              <w:t xml:space="preserve">39 (+8.9%)</w:t>
            </w:r>
          </w:p>
        </w:tc>
        <w:tc>
          <w:tcPr>
            <w:gridSpan w:val="2"/>
          </w:tcPr>
          <w:p>
            <w:pPr>
              <w:pStyle w:val="Compact"/>
              <w:jc w:val="left"/>
            </w:pPr>
            <w:r>
              <w:t xml:space="preserve">26% (Stable demand)</w:t>
            </w:r>
          </w:p>
        </w:tc>
      </w:tr>
    </w:tbl>
    <w:bookmarkEnd w:id="23"/>
    <w:bookmarkStart w:id="24" w:name="challenges-and-strategic-opportunities"/>
    <w:p>
      <w:pPr>
        <w:pStyle w:val="Heading2"/>
      </w:pPr>
      <w:r>
        <w:t xml:space="preserve">Challenges and Strategic Opportunities</w:t>
      </w:r>
    </w:p>
    <w:p>
      <w:pPr>
        <w:pStyle w:val="FirstParagraph"/>
      </w:pPr>
      <w:r>
        <w:t xml:space="preserve">The Sales Report identifies two critical challenges requiring immediate action:</w:t>
      </w:r>
    </w:p>
    <w:p>
      <w:pPr>
        <w:numPr>
          <w:ilvl w:val="0"/>
          <w:numId w:val="1003"/>
        </w:numPr>
        <w:pStyle w:val="Compact"/>
      </w:pPr>
      <w:r>
        <w:rPr>
          <w:bCs/>
          <w:b/>
        </w:rPr>
        <w:t xml:space="preserve">Workforce Shortages:</w:t>
      </w:r>
      <w:r>
        <w:t xml:space="preserve"> </w:t>
      </w:r>
      <w:r>
        <w:t xml:space="preserve">Sydney's midwifery vacancy rate is at 18% (vs national average of 12%), creating scheduling bottlenecks that impact client acquisition. Our Q3 data shows a 40% increase in booking wait times for private clients.</w:t>
      </w:r>
    </w:p>
    <w:p>
      <w:pPr>
        <w:numPr>
          <w:ilvl w:val="0"/>
          <w:numId w:val="1003"/>
        </w:numPr>
        <w:pStyle w:val="Compact"/>
      </w:pPr>
      <w:r>
        <w:rPr>
          <w:bCs/>
          <w:b/>
        </w:rPr>
        <w:t xml:space="preserve">Insurance Costs:</w:t>
      </w:r>
      <w:r>
        <w:t xml:space="preserve"> </w:t>
      </w:r>
      <w:r>
        <w:t xml:space="preserve">Premium increases from Australian regulatory bodies have impacted service affordability, particularly for low-income families in Sydney's disadvantaged suburbs.</w:t>
      </w:r>
    </w:p>
    <w:p>
      <w:pPr>
        <w:pStyle w:val="FirstParagraph"/>
      </w:pPr>
      <w:r>
        <w:t xml:space="preserve">Concurrently, the Sales Report highlights three high-potential opportunities:</w:t>
      </w:r>
    </w:p>
    <w:p>
      <w:pPr>
        <w:numPr>
          <w:ilvl w:val="0"/>
          <w:numId w:val="1004"/>
        </w:numPr>
        <w:pStyle w:val="Compact"/>
      </w:pPr>
      <w:r>
        <w:rPr>
          <w:bCs/>
          <w:b/>
        </w:rPr>
        <w:t xml:space="preserve">Partnership Expansion:</w:t>
      </w:r>
      <w:r>
        <w:t xml:space="preserve"> </w:t>
      </w:r>
      <w:r>
        <w:t xml:space="preserve">Formalizing agreements with 3 additional Sydney public hospitals to increase shared-care models</w:t>
      </w:r>
    </w:p>
    <w:p>
      <w:pPr>
        <w:numPr>
          <w:ilvl w:val="0"/>
          <w:numId w:val="1004"/>
        </w:numPr>
        <w:pStyle w:val="Compact"/>
      </w:pPr>
      <w:r>
        <w:rPr>
          <w:bCs/>
          <w:b/>
        </w:rPr>
        <w:t xml:space="preserve">Cultural Inclusion Programs:</w:t>
      </w:r>
      <w:r>
        <w:t xml:space="preserve"> </w:t>
      </w:r>
      <w:r>
        <w:t xml:space="preserve">Developing specialized midwifery services for refugee and migrant communities in Western Sydney (addressing a 42% underserved market segment)</w:t>
      </w:r>
    </w:p>
    <w:p>
      <w:pPr>
        <w:pStyle w:val="FirstParagraph"/>
      </w:pPr>
      <w:r>
        <w:rPr>
          <w:bCs/>
          <w:b/>
        </w:rPr>
        <w:t xml:space="preserve">Midwife Leadership Imperative:</w:t>
      </w:r>
      <w:r>
        <w:t xml:space="preserve"> </w:t>
      </w:r>
      <w:r>
        <w:t xml:space="preserve">This Sales Report confirms that midwifery practices with strong leadership in cultural safety achieve 3.2x higher client lifetime value in Australia Sydney. Our practice's initiative to train all midwives in "Culturally Safe Care for Diverse Families" directly contributed to a 27% increase in Aboriginal and Torres Strait Islander client referrals.</w:t>
      </w:r>
    </w:p>
    <w:bookmarkEnd w:id="24"/>
    <w:bookmarkStart w:id="25" w:name="conclusion-and-strategic-roadmap"/>
    <w:p>
      <w:pPr>
        <w:pStyle w:val="Heading2"/>
      </w:pPr>
      <w:r>
        <w:t xml:space="preserve">Conclusion and Strategic Roadmap</w:t>
      </w:r>
    </w:p>
    <w:p>
      <w:pPr>
        <w:pStyle w:val="FirstParagraph"/>
      </w:pPr>
      <w:r>
        <w:t xml:space="preserve">The Q3 Sales Report confirms Sydney's midwifery market is primed for growth, with the Australian government's National Maternal Health Strategy creating unprecedented opportunities. As a leading provider in Australia Sydney, our practice must capitalize on this momentum through three strategic priorities:</w:t>
      </w:r>
    </w:p>
    <w:p>
      <w:pPr>
        <w:numPr>
          <w:ilvl w:val="0"/>
          <w:numId w:val="1005"/>
        </w:numPr>
        <w:pStyle w:val="Compact"/>
      </w:pPr>
      <w:r>
        <w:rPr>
          <w:bCs/>
          <w:b/>
        </w:rPr>
        <w:t xml:space="preserve">Expand Community Reach:</w:t>
      </w:r>
      <w:r>
        <w:t xml:space="preserve"> </w:t>
      </w:r>
      <w:r>
        <w:t xml:space="preserve">Launch "Midwife-in-Community" pop-up clinics in 5 high-demand suburbs (including Blacktown and Canterbury) by Q1 2024</w:t>
      </w:r>
    </w:p>
    <w:p>
      <w:pPr>
        <w:numPr>
          <w:ilvl w:val="0"/>
          <w:numId w:val="1005"/>
        </w:numPr>
        <w:pStyle w:val="Compact"/>
      </w:pPr>
      <w:r>
        <w:rPr>
          <w:bCs/>
          <w:b/>
        </w:rPr>
        <w:t xml:space="preserve">Strengthen Digital Engagement:</w:t>
      </w:r>
      <w:r>
        <w:t xml:space="preserve"> </w:t>
      </w:r>
      <w:r>
        <w:t xml:space="preserve">Implement a Sydney-specific mobile app for appointment management and prenatal education, targeting 85% client adoption rate by end of 2023</w:t>
      </w:r>
    </w:p>
    <w:p>
      <w:pPr>
        <w:numPr>
          <w:ilvl w:val="0"/>
          <w:numId w:val="1005"/>
        </w:numPr>
        <w:pStyle w:val="Compact"/>
      </w:pPr>
      <w:r>
        <w:rPr>
          <w:bCs/>
          <w:b/>
        </w:rPr>
        <w:t xml:space="preserve">Advocate for Systemic Change:</w:t>
      </w:r>
      <w:r>
        <w:t xml:space="preserve"> </w:t>
      </w:r>
      <w:r>
        <w:t xml:space="preserve">Partner with NSW Midwifery Council to address insurance cost barriers through industry-wide policy reform</w:t>
      </w:r>
    </w:p>
    <w:p>
      <w:pPr>
        <w:pStyle w:val="FirstParagraph"/>
      </w:pPr>
      <w:r>
        <w:t xml:space="preserve">This Sales Report underscores that midwifery excellence in Australia Sydney is fundamentally about human connection. By prioritizing continuity of care, cultural humility, and accessibility – not just sales metrics – our practice will continue to set the benchmark for maternal healthcare across this dynamic city. The data clearly shows that when a midwife becomes trusted partner in care rather than a service provider, client loyalty and community impact multiply exponentially. As Sydney's population grows toward 5.5 million residents by 2028, the role of the midwife as a catalyst for positive birth outcomes will become increasingly vital to Australia's national health success.</w:t>
      </w:r>
    </w:p>
    <w:p>
      <w:pPr>
        <w:pStyle w:val="BodyText"/>
      </w:pPr>
      <w:r>
        <w:t xml:space="preserve">© 2023 Sydney Midwifery Collective | Sales Report Confidential - Internal Use Only</w:t>
      </w:r>
    </w:p>
    <w:p>
      <w:pPr>
        <w:pStyle w:val="BodyText"/>
      </w:pPr>
      <w:r>
        <w:t xml:space="preserve">This document supports strategic planning for midwifery service delivery across Australia Sydney. All figures sourced from practice management system and NSW Health statistics.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Performance in Australia Sydney</dc:title>
  <dc:creator/>
  <dc:language>en</dc:language>
  <cp:keywords/>
  <dcterms:created xsi:type="dcterms:W3CDTF">2025-12-11T15:56:48Z</dcterms:created>
  <dcterms:modified xsi:type="dcterms:W3CDTF">2025-12-11T15:56:48Z</dcterms:modified>
</cp:coreProperties>
</file>

<file path=docProps/custom.xml><?xml version="1.0" encoding="utf-8"?>
<Properties xmlns="http://schemas.openxmlformats.org/officeDocument/2006/custom-properties" xmlns:vt="http://schemas.openxmlformats.org/officeDocument/2006/docPropsVTypes"/>
</file>