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Sales</w:t>
      </w:r>
      <w:r>
        <w:t xml:space="preserve"> </w:t>
      </w:r>
      <w:r>
        <w:t xml:space="preserve">Performance</w:t>
      </w:r>
      <w:r>
        <w:t xml:space="preserve"> </w:t>
      </w:r>
      <w:r>
        <w:t xml:space="preserve">Report:</w:t>
      </w:r>
      <w:r>
        <w:t xml:space="preserve"> </w:t>
      </w:r>
      <w:r>
        <w:t xml:space="preserve">Colombia</w:t>
      </w:r>
      <w:r>
        <w:t xml:space="preserve"> </w:t>
      </w:r>
      <w:r>
        <w:t xml:space="preserve">Bogotá</w:t>
      </w:r>
    </w:p>
    <w:bookmarkStart w:id="27" w:name="X864c3d1323b78939c7fac15e4459e74f5a69264"/>
    <w:p>
      <w:pPr>
        <w:pStyle w:val="Heading1"/>
      </w:pPr>
      <w:r>
        <w:t xml:space="preserve">Comprehensive Sales Report: Midwife Service Performance in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Maternal Healthcare Division</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midwife service offerings across Colombia Bogotá during Q3 2023. The region demonstrated exceptional growth in maternal healthcare demand, with our midwifery services achieving a 37% year-over-year increase in client acquisitions. This success stems from strategic alignment with Colombia's National Health Policy for Maternal Care and Bogotá's unique urban demographic dynamics. Our service model—combining traditional Colombian cultural practices with modern prenatal/postnatal care—has positioned us as the leading provider of community-based midwifery solutions in the capital city.</w:t>
      </w:r>
    </w:p>
    <w:bookmarkEnd w:id="20"/>
    <w:bookmarkStart w:id="21" w:name="ii.-sales-performance-overview"/>
    <w:p>
      <w:pPr>
        <w:pStyle w:val="Heading2"/>
      </w:pPr>
      <w:r>
        <w:t xml:space="preserve">II. Sales Performance Overview</w:t>
      </w:r>
    </w:p>
    <w:p>
      <w:pPr>
        <w:pStyle w:val="FirstParagraph"/>
      </w:pPr>
      <w:r>
        <w:t xml:space="preserve">During Q3 2023, our Colombia Bogotá midwife service division generated total revenue of $148,500 USD, representing a 29% increase from Q2 and surpassing our quarterly target by 18%. Key highlights include:</w:t>
      </w:r>
    </w:p>
    <w:p>
      <w:pPr>
        <w:numPr>
          <w:ilvl w:val="0"/>
          <w:numId w:val="1001"/>
        </w:numPr>
        <w:pStyle w:val="Compact"/>
      </w:pPr>
      <w:r>
        <w:rPr>
          <w:bCs/>
          <w:b/>
        </w:rPr>
        <w:t xml:space="preserve">Client Acquisition:</w:t>
      </w:r>
      <w:r>
        <w:t xml:space="preserve"> </w:t>
      </w:r>
      <w:r>
        <w:t xml:space="preserve">347 new midwife service contracts (vs. 261 in Q2), with the highest uptake in La Candelaria, Chapinero, and Usme districts—areas with high concentrations of low-to-moderate income families seeking affordable maternal care.</w:t>
      </w:r>
    </w:p>
    <w:p>
      <w:pPr>
        <w:numPr>
          <w:ilvl w:val="0"/>
          <w:numId w:val="1001"/>
        </w:numPr>
        <w:pStyle w:val="Compact"/>
      </w:pPr>
      <w:r>
        <w:rPr>
          <w:bCs/>
          <w:b/>
        </w:rPr>
        <w:t xml:space="preserve">Service Mix:</w:t>
      </w:r>
    </w:p>
    <w:p>
      <w:pPr>
        <w:numPr>
          <w:ilvl w:val="1"/>
          <w:numId w:val="1002"/>
        </w:numPr>
        <w:pStyle w:val="Compact"/>
      </w:pPr>
      <w:r>
        <w:t xml:space="preserve">Prenatal Care Packages: 62% of total sales ($92,070)</w:t>
      </w:r>
    </w:p>
    <w:p>
      <w:pPr>
        <w:numPr>
          <w:ilvl w:val="1"/>
          <w:numId w:val="1002"/>
        </w:numPr>
        <w:pStyle w:val="Compact"/>
      </w:pPr>
      <w:r>
        <w:t xml:space="preserve">Postnatal Support: 28% ($41,580)</w:t>
      </w:r>
    </w:p>
    <w:p>
      <w:pPr>
        <w:numPr>
          <w:ilvl w:val="1"/>
          <w:numId w:val="1002"/>
        </w:numPr>
        <w:pStyle w:val="Compact"/>
      </w:pPr>
      <w:r>
        <w:t xml:space="preserve">Birthing Assistance (non-hospital): 10% ($14,850)</w:t>
      </w:r>
    </w:p>
    <w:p>
      <w:pPr>
        <w:numPr>
          <w:ilvl w:val="0"/>
          <w:numId w:val="1001"/>
        </w:numPr>
        <w:pStyle w:val="Compact"/>
      </w:pPr>
      <w:r>
        <w:rPr>
          <w:bCs/>
          <w:b/>
        </w:rPr>
        <w:t xml:space="preserve">Retention Rate:</w:t>
      </w:r>
      <w:r>
        <w:t xml:space="preserve"> </w:t>
      </w:r>
      <w:r>
        <w:t xml:space="preserve">89% (exceeding Bogotá industry average of 76%), directly linked to our culturally attuned midwifery approach that incorporates traditional Colombian family involvement in birth planning.</w:t>
      </w:r>
    </w:p>
    <w:bookmarkEnd w:id="21"/>
    <w:bookmarkStart w:id="22" w:name="iii.-colombia-bogotá-market-analysis"/>
    <w:p>
      <w:pPr>
        <w:pStyle w:val="Heading2"/>
      </w:pPr>
      <w:r>
        <w:t xml:space="preserve">III. Colombia Bogotá Market Analysis</w:t>
      </w:r>
    </w:p>
    <w:p>
      <w:pPr>
        <w:pStyle w:val="FirstParagraph"/>
      </w:pPr>
      <w:r>
        <w:t xml:space="preserve">Bogotá's maternal healthcare landscape presents unique opportunities for midwife services due to:</w:t>
      </w:r>
    </w:p>
    <w:p>
      <w:pPr>
        <w:numPr>
          <w:ilvl w:val="0"/>
          <w:numId w:val="1003"/>
        </w:numPr>
        <w:pStyle w:val="Compact"/>
      </w:pPr>
      <w:r>
        <w:rPr>
          <w:bCs/>
          <w:b/>
        </w:rPr>
        <w:t xml:space="preserve">Policy Alignment:</w:t>
      </w:r>
      <w:r>
        <w:t xml:space="preserve"> </w:t>
      </w:r>
      <w:r>
        <w:t xml:space="preserve">Colombia's 2018 National Midwifery Law (Ley 1751) mandates integration of midwives into primary care networks. Bogotá has implemented this through "Red de Salud Materna" (Maternal Health Network), creating our largest referral channels with public clinics like Clínica Los Andes and Hospital San Rafael.</w:t>
      </w:r>
    </w:p>
    <w:p>
      <w:pPr>
        <w:numPr>
          <w:ilvl w:val="0"/>
          <w:numId w:val="1003"/>
        </w:numPr>
        <w:pStyle w:val="Compact"/>
      </w:pPr>
      <w:r>
        <w:rPr>
          <w:bCs/>
          <w:b/>
        </w:rPr>
        <w:t xml:space="preserve">Urban Demographics:</w:t>
      </w:r>
      <w:r>
        <w:t xml:space="preserve"> </w:t>
      </w:r>
      <w:r>
        <w:t xml:space="preserve">As Colombia's most populous city (11.5M residents), Bogotá has 42% of mothers aged 20-35—our core demographic—seeking alternatives to hospital births due to cost ($400+ for basic hospital delivery vs. $280 for our midwife package) and cultural preference for family-centered care.</w:t>
      </w:r>
    </w:p>
    <w:p>
      <w:pPr>
        <w:numPr>
          <w:ilvl w:val="0"/>
          <w:numId w:val="1003"/>
        </w:numPr>
        <w:pStyle w:val="Compact"/>
      </w:pPr>
      <w:r>
        <w:rPr>
          <w:bCs/>
          <w:b/>
        </w:rPr>
        <w:t xml:space="preserve">Cultural Resonance:</w:t>
      </w:r>
      <w:r>
        <w:t xml:space="preserve"> </w:t>
      </w:r>
      <w:r>
        <w:t xml:space="preserve">Our midwives' use of local terminology (e.g., "parto natural" instead of "natural birth") and incorporation of traditional Colombian practices like *paseo* (gentle postpartum walking) increased client satisfaction by 41% in Q3 surveys.</w:t>
      </w:r>
    </w:p>
    <w:bookmarkEnd w:id="22"/>
    <w:bookmarkStart w:id="23" w:name="iv.-customer-demographics-satisfaction"/>
    <w:p>
      <w:pPr>
        <w:pStyle w:val="Heading2"/>
      </w:pPr>
      <w:r>
        <w:t xml:space="preserve">IV. Customer Demographics &amp; Satisfaction</w:t>
      </w:r>
    </w:p>
    <w:p>
      <w:pPr>
        <w:pStyle w:val="FirstParagraph"/>
      </w:pPr>
      <w:r>
        <w:t xml:space="preserve">Our Colombia Bogotá midwife service clients reflect the city's diversity:</w:t>
      </w:r>
    </w:p>
    <w:p>
      <w:pPr>
        <w:pStyle w:val="BodyText"/>
      </w:pPr>
      <w:r>
        <w:t xml:space="preserve">Demographic Segment</w:t>
      </w:r>
    </w:p>
    <w:p>
      <w:pPr>
        <w:pStyle w:val="BodyText"/>
      </w:pPr>
      <w:r>
        <w:t xml:space="preserve">% of Clients</w:t>
      </w:r>
    </w:p>
    <w:p>
      <w:pPr>
        <w:pStyle w:val="BodyText"/>
      </w:pPr>
      <w:r>
        <w:t xml:space="preserve">Key Motivations</w:t>
      </w:r>
    </w:p>
    <w:p>
      <w:pPr>
        <w:pStyle w:val="BodyText"/>
      </w:pPr>
      <w:r>
        <w:t xml:space="preserve">Urban Low-Income (Estrato 1-3)</w:t>
      </w:r>
    </w:p>
    <w:p>
      <w:pPr>
        <w:pStyle w:val="BodyText"/>
      </w:pPr>
      <w:r>
        <w:t xml:space="preserve">58%</w:t>
      </w:r>
    </w:p>
    <w:p>
      <w:pPr>
        <w:pStyle w:val="BodyText"/>
      </w:pPr>
      <w:r>
        <w:t xml:space="preserve">"Affordable care without losing cultural identity"</w:t>
      </w:r>
    </w:p>
    <w:p>
      <w:pPr>
        <w:pStyle w:val="BodyText"/>
      </w:pPr>
      <w:r>
        <w:t xml:space="preserve">Middle-Class (Estrato 4-5)</w:t>
      </w:r>
    </w:p>
    <w:p>
      <w:pPr>
        <w:pStyle w:val="BodyText"/>
      </w:pPr>
      <w:r>
        <w:t xml:space="preserve">32%</w:t>
      </w:r>
    </w:p>
    <w:p>
      <w:pPr>
        <w:pStyle w:val="BodyText"/>
      </w:pPr>
      <w:r>
        <w:t xml:space="preserve">"Personalized attention vs. hospital impersonality"</w:t>
      </w:r>
    </w:p>
    <w:p>
      <w:pPr>
        <w:pStyle w:val="BodyText"/>
      </w:pPr>
      <w:r>
        <w:t xml:space="preserve">International Community</w:t>
      </w:r>
    </w:p>
    <w:p>
      <w:pPr>
        <w:pStyle w:val="BodyText"/>
      </w:pPr>
      <w:r>
        <w:t xml:space="preserve">10%</w:t>
      </w:r>
    </w:p>
    <w:p>
      <w:pPr>
        <w:pStyle w:val="BodyText"/>
      </w:pPr>
      <w:r>
        <w:t xml:space="preserve">"Continuity with home-country midwifery practices"</w:t>
      </w:r>
    </w:p>
    <w:p>
      <w:pPr>
        <w:pStyle w:val="BodyText"/>
      </w:pPr>
      <w:r>
        <w:t xml:space="preserve">Satisfaction metrics showed 94% of clients would recommend our midwife service to others—significantly higher than Bogotá's healthcare industry average of 78%. The strongest feedback centered on "midwives treating mothers as partners, not patients" and "understanding Colombian family dynamics during childbirth."</w:t>
      </w:r>
    </w:p>
    <w:bookmarkEnd w:id="23"/>
    <w:bookmarkStart w:id="24" w:name="v.-challenges-in-colombia-bogotá-context"/>
    <w:p>
      <w:pPr>
        <w:pStyle w:val="Heading2"/>
      </w:pPr>
      <w:r>
        <w:t xml:space="preserve">V. Challenges in Colombia Bogotá Context</w:t>
      </w:r>
    </w:p>
    <w:p>
      <w:pPr>
        <w:pStyle w:val="FirstParagraph"/>
      </w:pPr>
      <w:r>
        <w:t xml:space="preserve">Despite growth, we faced region-specific obstacles:</w:t>
      </w:r>
    </w:p>
    <w:p>
      <w:pPr>
        <w:numPr>
          <w:ilvl w:val="0"/>
          <w:numId w:val="1004"/>
        </w:numPr>
        <w:pStyle w:val="Compact"/>
      </w:pPr>
      <w:r>
        <w:rPr>
          <w:bCs/>
          <w:b/>
        </w:rPr>
        <w:t xml:space="preserve">Regulatory Navigation:</w:t>
      </w:r>
      <w:r>
        <w:t xml:space="preserve"> </w:t>
      </w:r>
      <w:r>
        <w:t xml:space="preserve">Bogotá's municipal health registry (SISBEN) requires additional documentation for midwife services vs. rural Colombia, causing 15% of new clients to delay enrollment during Q3.</w:t>
      </w:r>
    </w:p>
    <w:p>
      <w:pPr>
        <w:numPr>
          <w:ilvl w:val="0"/>
          <w:numId w:val="1004"/>
        </w:numPr>
        <w:pStyle w:val="Compact"/>
      </w:pPr>
      <w:r>
        <w:rPr>
          <w:bCs/>
          <w:b/>
        </w:rPr>
        <w:t xml:space="preserve">Competition Pressure:</w:t>
      </w:r>
      <w:r>
        <w:t xml:space="preserve"> </w:t>
      </w:r>
      <w:r>
        <w:t xml:space="preserve">Traditional *comadronas* (lay midwives) in informal sectors now offer similar services at $100–$150, capturing price-sensitive segments. We countered with "Certified Midwife Guarantee" marketing.</w:t>
      </w:r>
    </w:p>
    <w:p>
      <w:pPr>
        <w:numPr>
          <w:ilvl w:val="0"/>
          <w:numId w:val="1004"/>
        </w:numPr>
        <w:pStyle w:val="Compact"/>
      </w:pPr>
      <w:r>
        <w:rPr>
          <w:bCs/>
          <w:b/>
        </w:rPr>
        <w:t xml:space="preserve">Transportation Barriers:</w:t>
      </w:r>
      <w:r>
        <w:t xml:space="preserve"> </w:t>
      </w:r>
      <w:r>
        <w:t xml:space="preserve">In peripheral districts like Soacha (adjacent to Bogotá), 23% of clients cited travel issues. Our solution: partnered with *Rutas de la Salud* (Bogotá's public health shuttle service) for free transport to appointments.</w:t>
      </w:r>
    </w:p>
    <w:bookmarkEnd w:id="24"/>
    <w:bookmarkStart w:id="25" w:name="vi.-strategic-recommendations"/>
    <w:p>
      <w:pPr>
        <w:pStyle w:val="Heading2"/>
      </w:pPr>
      <w:r>
        <w:t xml:space="preserve">VI. Strategic Recommendations</w:t>
      </w:r>
    </w:p>
    <w:p>
      <w:pPr>
        <w:pStyle w:val="FirstParagraph"/>
      </w:pPr>
      <w:r>
        <w:t xml:space="preserve">Based on Q3 performance, we recommend:</w:t>
      </w:r>
    </w:p>
    <w:p>
      <w:pPr>
        <w:numPr>
          <w:ilvl w:val="0"/>
          <w:numId w:val="1005"/>
        </w:numPr>
        <w:pStyle w:val="Compact"/>
      </w:pPr>
      <w:r>
        <w:rPr>
          <w:bCs/>
          <w:b/>
        </w:rPr>
        <w:t xml:space="preserve">Expand SISBEN Integration:</w:t>
      </w:r>
      <w:r>
        <w:t xml:space="preserve"> </w:t>
      </w:r>
      <w:r>
        <w:t xml:space="preserve">Develop a streamlined digital portal for Bogotá's social registry to reduce enrollment friction (projected 20% sales increase).</w:t>
      </w:r>
    </w:p>
    <w:p>
      <w:pPr>
        <w:numPr>
          <w:ilvl w:val="0"/>
          <w:numId w:val="1005"/>
        </w:numPr>
        <w:pStyle w:val="Compact"/>
      </w:pPr>
      <w:r>
        <w:rPr>
          <w:bCs/>
          <w:b/>
        </w:rPr>
        <w:t xml:space="preserve">Leverage Cultural Partnerships:</w:t>
      </w:r>
      <w:r>
        <w:t xml:space="preserve"> </w:t>
      </w:r>
      <w:r>
        <w:t xml:space="preserve">Collaborate with *Asociación de Comadronas Tradicionales de Bogotá* to co-design community workshops—addressing trust gaps while expanding reach.</w:t>
      </w:r>
    </w:p>
    <w:p>
      <w:pPr>
        <w:numPr>
          <w:ilvl w:val="0"/>
          <w:numId w:val="1005"/>
        </w:numPr>
        <w:pStyle w:val="Compact"/>
      </w:pPr>
      <w:r>
        <w:rPr>
          <w:bCs/>
          <w:b/>
        </w:rPr>
        <w:t xml:space="preserve">Budget for Urban Logistics:</w:t>
      </w:r>
      <w:r>
        <w:t xml:space="preserve"> </w:t>
      </w:r>
      <w:r>
        <w:t xml:space="preserve">Allocate $15,000 for quarterly mobile midwife units in underserved neighborhoods (e.g., Kennedy, Bosa), targeting 35 new contracts monthly.</w:t>
      </w:r>
    </w:p>
    <w:p>
      <w:pPr>
        <w:numPr>
          <w:ilvl w:val="0"/>
          <w:numId w:val="1005"/>
        </w:numPr>
        <w:pStyle w:val="Compact"/>
      </w:pPr>
      <w:r>
        <w:rPr>
          <w:bCs/>
          <w:b/>
        </w:rPr>
        <w:t xml:space="preserve">Enhance Digital Engagement:</w:t>
      </w:r>
      <w:r>
        <w:t xml:space="preserve"> </w:t>
      </w:r>
      <w:r>
        <w:t xml:space="preserve">Launch a "Bogotá Mama" WhatsApp community where midwives provide real-time support—addressing the city's high smartphone penetration (81%) among mothers.</w:t>
      </w:r>
    </w:p>
    <w:bookmarkEnd w:id="25"/>
    <w:bookmarkStart w:id="26" w:name="vii.-conclusion"/>
    <w:p>
      <w:pPr>
        <w:pStyle w:val="Heading2"/>
      </w:pPr>
      <w:r>
        <w:t xml:space="preserve">VII. Conclusion</w:t>
      </w:r>
    </w:p>
    <w:p>
      <w:pPr>
        <w:pStyle w:val="FirstParagraph"/>
      </w:pPr>
      <w:r>
        <w:t xml:space="preserve">The Colombia Bogotá midwife service sector is experiencing transformative growth, driven by policy shifts, urban demographic trends, and our culturally embedded service model. Our Q3 results confirm that when midwifery services respect local customs while delivering clinical excellence—particularly in a city as diverse as Bogotá—the market rewards this approach with strong retention and organic growth. As Colombia continues prioritizing maternal health equity, our Bogotá operations are positioned to become the national benchmark for community-based midwife service delivery.</w:t>
      </w:r>
    </w:p>
    <w:p>
      <w:pPr>
        <w:pStyle w:val="BodyText"/>
      </w:pPr>
      <w:r>
        <w:t xml:space="preserve">With strategic investment in SISBEN integration and neighborhood outreach, we project 45% YoY growth by Q3 2024. The path forward requires deepening our roots within Colombia Bogotá's cultural fabric while scaling the proven model that makes our midwife services indispensable to mothers across the capital.</w:t>
      </w:r>
    </w:p>
    <w:p>
      <w:pPr>
        <w:pStyle w:val="BodyText"/>
      </w:pPr>
      <w:r>
        <w:rPr>
          <w:bCs/>
          <w:b/>
        </w:rPr>
        <w:t xml:space="preserve">Prepared By:</w:t>
      </w:r>
      <w:r>
        <w:t xml:space="preserve"> </w:t>
      </w:r>
      <w:r>
        <w:t xml:space="preserve">Maria Fernanda Cortés, Sales Director - Maternal Health Division</w:t>
      </w:r>
      <w:r>
        <w:br/>
      </w:r>
      <w:r>
        <w:rPr>
          <w:bCs/>
          <w:b/>
        </w:rPr>
        <w:t xml:space="preserve">Contact:</w:t>
      </w:r>
      <w:r>
        <w:t xml:space="preserve"> </w:t>
      </w:r>
      <w:r>
        <w:t xml:space="preserve">mf.cortes@midwifecarecolombia.com | +57 1 234-5678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Sales Performance Report: Colombia Bogotá</dc:title>
  <dc:creator/>
  <dc:language>en</dc:language>
  <cp:keywords/>
  <dcterms:created xsi:type="dcterms:W3CDTF">2026-07-25T00:57:52Z</dcterms:created>
  <dcterms:modified xsi:type="dcterms:W3CDTF">2026-07-25T00:57:52Z</dcterms:modified>
</cp:coreProperties>
</file>

<file path=docProps/custom.xml><?xml version="1.0" encoding="utf-8"?>
<Properties xmlns="http://schemas.openxmlformats.org/officeDocument/2006/custom-properties" xmlns:vt="http://schemas.openxmlformats.org/officeDocument/2006/docPropsVTypes"/>
</file>