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w:t>
      </w:r>
      <w:r>
        <w:t xml:space="preserve"> </w:t>
      </w:r>
      <w:r>
        <w:t xml:space="preserve">Medellín,</w:t>
      </w:r>
      <w:r>
        <w:t xml:space="preserve"> </w:t>
      </w:r>
      <w:r>
        <w:t xml:space="preserve">Colombia</w:t>
      </w:r>
    </w:p>
    <w:bookmarkStart w:id="29" w:name="X6b43e642bc726bad20d7d7797f978c0d9fff20f"/>
    <w:p>
      <w:pPr>
        <w:pStyle w:val="Heading1"/>
      </w:pPr>
      <w:r>
        <w:t xml:space="preserve">Sales Report: Midwife Services in Colombia Medellín (Q3 2023)</w:t>
      </w:r>
    </w:p>
    <w:p>
      <w:pPr>
        <w:pStyle w:val="FirstParagraph"/>
      </w:pPr>
      <w:r>
        <w:rPr>
          <w:bCs/>
          <w:b/>
        </w:rPr>
        <w:t xml:space="preserve">Prepared For:</w:t>
      </w:r>
      <w:r>
        <w:t xml:space="preserve"> </w:t>
      </w:r>
      <w:r>
        <w:t xml:space="preserve">Board of Directors, Maternal Health Initiative Colombia</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Midwife service portfolio across Colombia Medellín during the third quarter of 2023. The report confirms significant growth in both client acquisition and service utilization, positioning our Maternal Health Initiative as a leading provider in urban midwifery care within Colombia's second-largest city. Despite economic challenges prevalent throughout Medellín, our Midwife services demonstrated resilience with a 27% year-over-year increase in sales revenue. This Sales Report underscores the critical role of culturally attuned midwifery care in addressing maternal health disparities across diverse neighborhoods of Colombia Medellín.</w:t>
      </w:r>
    </w:p>
    <w:bookmarkEnd w:id="20"/>
    <w:bookmarkStart w:id="21" w:name="key-performance-indicators"/>
    <w:p>
      <w:pPr>
        <w:pStyle w:val="Heading2"/>
      </w:pPr>
      <w:r>
        <w:t xml:space="preserve">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Client Visits</w:t>
            </w:r>
          </w:p>
        </w:tc>
        <w:tc>
          <w:tcPr/>
          <w:p>
            <w:pPr>
              <w:pStyle w:val="Compact"/>
              <w:jc w:val="left"/>
            </w:pPr>
            <w:r>
              <w:t xml:space="preserve">1,845</w:t>
            </w:r>
          </w:p>
        </w:tc>
        <w:tc>
          <w:tcPr/>
          <w:p>
            <w:pPr>
              <w:pStyle w:val="Compact"/>
              <w:jc w:val="left"/>
            </w:pPr>
            <w:r>
              <w:t xml:space="preserve">1,367</w:t>
            </w:r>
          </w:p>
        </w:tc>
        <w:tc>
          <w:tcPr/>
          <w:p>
            <w:pPr>
              <w:pStyle w:val="Compact"/>
              <w:jc w:val="left"/>
            </w:pPr>
            <w:r>
              <w:t xml:space="preserve">+35.0%</w:t>
            </w:r>
          </w:p>
        </w:tc>
      </w:tr>
      <w:tr>
        <w:tc>
          <w:tcPr/>
          <w:p>
            <w:pPr>
              <w:pStyle w:val="Compact"/>
              <w:jc w:val="left"/>
            </w:pPr>
            <w:r>
              <w:t xml:space="preserve">Revenue Generated (COP)</w:t>
            </w:r>
          </w:p>
        </w:tc>
        <w:tc>
          <w:tcPr/>
          <w:p>
            <w:pPr>
              <w:pStyle w:val="Compact"/>
              <w:jc w:val="left"/>
            </w:pPr>
            <w:r>
              <w:t xml:space="preserve">$24.7M</w:t>
            </w:r>
          </w:p>
        </w:tc>
        <w:tc>
          <w:tcPr/>
          <w:p>
            <w:pPr>
              <w:pStyle w:val="Compact"/>
              <w:jc w:val="left"/>
            </w:pPr>
            <w:r>
              <w:t xml:space="preserve">$19.5M</w:t>
            </w:r>
          </w:p>
        </w:tc>
        <w:tc>
          <w:tcPr/>
          <w:p>
            <w:pPr>
              <w:pStyle w:val="Compact"/>
              <w:jc w:val="left"/>
            </w:pPr>
            <w:r>
              <w:t xml:space="preserve">+26.7%</w:t>
            </w:r>
          </w:p>
        </w:tc>
      </w:tr>
      <w:tr>
        <w:tc>
          <w:tcPr/>
          <w:p>
            <w:pPr>
              <w:pStyle w:val="Compact"/>
              <w:jc w:val="left"/>
            </w:pPr>
            <w:r>
              <w:t xml:space="preserve">New Client Acquisitions</w:t>
            </w:r>
          </w:p>
        </w:tc>
        <w:tc>
          <w:tcPr/>
          <w:p>
            <w:pPr>
              <w:pStyle w:val="Compact"/>
              <w:jc w:val="left"/>
            </w:pPr>
            <w:r>
              <w:t xml:space="preserve">389</w:t>
            </w:r>
          </w:p>
        </w:tc>
        <w:tc>
          <w:tcPr/>
          <w:p>
            <w:pPr>
              <w:pStyle w:val="Compact"/>
              <w:jc w:val="left"/>
            </w:pPr>
            <w:r>
              <w:t xml:space="preserve">275</w:t>
            </w:r>
          </w:p>
        </w:tc>
        <w:tc>
          <w:tcPr/>
          <w:p>
            <w:pPr>
              <w:pStyle w:val="Compact"/>
              <w:jc w:val="left"/>
            </w:pPr>
            <w:r>
              <w:t xml:space="preserve">+41.5%</w:t>
            </w:r>
          </w:p>
        </w:tc>
      </w:tr>
      <w:tr>
        <w:tc>
          <w:tcPr/>
          <w:p>
            <w:pPr>
              <w:pStyle w:val="Compact"/>
              <w:jc w:val="left"/>
            </w:pPr>
            <w:r>
              <w:t xml:space="preserve">Client Retention Rate</w:t>
            </w:r>
          </w:p>
        </w:tc>
        <w:tc>
          <w:tcPr/>
          <w:p>
            <w:pPr>
              <w:pStyle w:val="Compact"/>
              <w:jc w:val="left"/>
            </w:pPr>
            <w:r>
              <w:t xml:space="preserve">78%</w:t>
            </w:r>
          </w:p>
        </w:tc>
        <w:tc>
          <w:tcPr/>
          <w:p>
            <w:pPr>
              <w:pStyle w:val="Compact"/>
              <w:jc w:val="left"/>
            </w:pPr>
            <w:r>
              <w:t xml:space="preserve">69%</w:t>
            </w:r>
          </w:p>
        </w:tc>
        <w:tc>
          <w:tcPr/>
          <w:p>
            <w:pPr>
              <w:pStyle w:val="Compact"/>
            </w:pPr>
          </w:p>
        </w:tc>
      </w:tr>
    </w:tbl>
    <w:bookmarkEnd w:id="21"/>
    <w:bookmarkStart w:id="22" w:name="X9c1895b78030b7f1cd3a57f1b51733959a4ec5e"/>
    <w:p>
      <w:pPr>
        <w:pStyle w:val="Heading2"/>
      </w:pPr>
      <w:r>
        <w:t xml:space="preserve">Sales Performance by Neighborhood: Colombia Medellín Focus</w:t>
      </w:r>
    </w:p>
    <w:p>
      <w:pPr>
        <w:pStyle w:val="FirstParagraph"/>
      </w:pPr>
      <w:r>
        <w:t xml:space="preserve">The Sales Report reveals a strategic expansion pattern across key districts of Colombia Medellín. Our Midwife services saw highest adoption in the following neighborhoods:</w:t>
      </w:r>
    </w:p>
    <w:p>
      <w:pPr>
        <w:numPr>
          <w:ilvl w:val="0"/>
          <w:numId w:val="1001"/>
        </w:numPr>
        <w:pStyle w:val="Compact"/>
      </w:pPr>
      <w:r>
        <w:rPr>
          <w:bCs/>
          <w:b/>
        </w:rPr>
        <w:t xml:space="preserve">Comuna 1 (Centro):</w:t>
      </w:r>
      <w:r>
        <w:t xml:space="preserve"> </w:t>
      </w:r>
      <w:r>
        <w:t xml:space="preserve">34% of total clients (2023: +18% YoY). Strong growth driven by partnerships with public health clinics in downtown Medellín.</w:t>
      </w:r>
    </w:p>
    <w:p>
      <w:pPr>
        <w:numPr>
          <w:ilvl w:val="0"/>
          <w:numId w:val="1001"/>
        </w:numPr>
        <w:pStyle w:val="Compact"/>
      </w:pPr>
      <w:r>
        <w:rPr>
          <w:bCs/>
          <w:b/>
        </w:rPr>
        <w:t xml:space="preserve">Comuna 10 (Poblado):</w:t>
      </w:r>
      <w:r>
        <w:t xml:space="preserve"> </w:t>
      </w:r>
      <w:r>
        <w:t xml:space="preserve">27% of clients (2023: +45% YoY). High demand from international families and premium private insurance clients.</w:t>
      </w:r>
    </w:p>
    <w:p>
      <w:pPr>
        <w:numPr>
          <w:ilvl w:val="0"/>
          <w:numId w:val="1001"/>
        </w:numPr>
        <w:pStyle w:val="Compact"/>
      </w:pPr>
      <w:r>
        <w:rPr>
          <w:bCs/>
          <w:b/>
        </w:rPr>
        <w:t xml:space="preserve">Comuna 6 (El Poblado):</w:t>
      </w:r>
      <w:r>
        <w:t xml:space="preserve"> </w:t>
      </w:r>
      <w:r>
        <w:t xml:space="preserve">19% of clients (2023: +31% YoY). Surge linked to our new "Prenatal Navigation" package for low-income mothers.</w:t>
      </w:r>
    </w:p>
    <w:p>
      <w:pPr>
        <w:numPr>
          <w:ilvl w:val="0"/>
          <w:numId w:val="1001"/>
        </w:numPr>
        <w:pStyle w:val="Compact"/>
      </w:pPr>
      <w:r>
        <w:rPr>
          <w:bCs/>
          <w:b/>
        </w:rPr>
        <w:t xml:space="preserve">Rural Satellite Clinics:</w:t>
      </w:r>
      <w:r>
        <w:t xml:space="preserve"> </w:t>
      </w:r>
      <w:r>
        <w:t xml:space="preserve">20% of clients (new initiative launched Q2). Mobile midwife units serving peri-urban communities like San Antonio and La Candelaria.</w:t>
      </w:r>
    </w:p>
    <w:bookmarkEnd w:id="22"/>
    <w:bookmarkStart w:id="23" w:name="product-portfolio-analysis"/>
    <w:p>
      <w:pPr>
        <w:pStyle w:val="Heading2"/>
      </w:pPr>
      <w:r>
        <w:t xml:space="preserve">Product Portfolio Analysis</w:t>
      </w:r>
    </w:p>
    <w:p>
      <w:pPr>
        <w:pStyle w:val="FirstParagraph"/>
      </w:pPr>
      <w:r>
        <w:t xml:space="preserve">The Sales Report highlights the dominance of our core Midwife service bundles:</w:t>
      </w:r>
    </w:p>
    <w:p>
      <w:pPr>
        <w:numPr>
          <w:ilvl w:val="0"/>
          <w:numId w:val="1002"/>
        </w:numPr>
        <w:pStyle w:val="Compact"/>
      </w:pPr>
      <w:r>
        <w:rPr>
          <w:bCs/>
          <w:b/>
        </w:rPr>
        <w:t xml:space="preserve">Standard Prenatal Package (5 visits):</w:t>
      </w:r>
      <w:r>
        <w:t xml:space="preserve"> </w:t>
      </w:r>
      <w:r>
        <w:t xml:space="preserve">48% of sales. $1.2M revenue. Popular among subsidized health insurance beneficiaries in Colombia Medellín.</w:t>
      </w:r>
    </w:p>
    <w:p>
      <w:pPr>
        <w:numPr>
          <w:ilvl w:val="0"/>
          <w:numId w:val="1002"/>
        </w:numPr>
        <w:pStyle w:val="Compact"/>
      </w:pPr>
      <w:r>
        <w:rPr>
          <w:bCs/>
          <w:b/>
        </w:rPr>
        <w:t xml:space="preserve">Postpartum Continuity Care:</w:t>
      </w:r>
      <w:r>
        <w:t xml:space="preserve"> </w:t>
      </w:r>
      <w:r>
        <w:t xml:space="preserve">32% of sales. $890,000 revenue. Key driver for retention; includes home visits and newborn care training.</w:t>
      </w:r>
    </w:p>
    <w:p>
      <w:pPr>
        <w:numPr>
          <w:ilvl w:val="0"/>
          <w:numId w:val="1002"/>
        </w:numPr>
        <w:pStyle w:val="Compact"/>
      </w:pPr>
      <w:r>
        <w:rPr>
          <w:bCs/>
          <w:b/>
        </w:rPr>
        <w:t xml:space="preserve">High-Risk Pregnancy Management:</w:t>
      </w:r>
      <w:r>
        <w:t xml:space="preserve"> </w:t>
      </w:r>
      <w:r>
        <w:t xml:space="preserve">15% of sales ($370,500). Critical growth area after partnerships with Clínica Colombia Medellín.</w:t>
      </w:r>
    </w:p>
    <w:p>
      <w:pPr>
        <w:numPr>
          <w:ilvl w:val="0"/>
          <w:numId w:val="1002"/>
        </w:numPr>
        <w:pStyle w:val="Compact"/>
      </w:pPr>
      <w:r>
        <w:rPr>
          <w:bCs/>
          <w:b/>
        </w:rPr>
        <w:t xml:space="preserve">Postnatal Doula Integration:</w:t>
      </w:r>
      <w:r>
        <w:t xml:space="preserve"> </w:t>
      </w:r>
      <w:r>
        <w:t xml:space="preserve">New offering (Q2 2023) at 5% of sales ($123,456). Rapidly gaining traction in private pay segments.</w:t>
      </w:r>
    </w:p>
    <w:bookmarkEnd w:id="23"/>
    <w:bookmarkStart w:id="24" w:name="Xbb2933358360ece5bdd1e8724bcc0d75b37849b"/>
    <w:p>
      <w:pPr>
        <w:pStyle w:val="Heading2"/>
      </w:pPr>
      <w:r>
        <w:t xml:space="preserve">Market Analysis: Colombia Medellín Context</w:t>
      </w:r>
    </w:p>
    <w:p>
      <w:pPr>
        <w:pStyle w:val="FirstParagraph"/>
      </w:pPr>
      <w:r>
        <w:t xml:space="preserve">This Sales Report contextualizes our performance within Colombia's maternal health landscape. Medellín faces unique challenges including:</w:t>
      </w:r>
    </w:p>
    <w:p>
      <w:pPr>
        <w:numPr>
          <w:ilvl w:val="0"/>
          <w:numId w:val="1003"/>
        </w:numPr>
        <w:pStyle w:val="Compact"/>
      </w:pPr>
      <w:r>
        <w:t xml:space="preserve">A 17% higher infant mortality rate than national average (DANE 2023), particularly in Comunas 5, 6, and 9.</w:t>
      </w:r>
    </w:p>
    <w:p>
      <w:pPr>
        <w:numPr>
          <w:ilvl w:val="0"/>
          <w:numId w:val="1003"/>
        </w:numPr>
        <w:pStyle w:val="Compact"/>
      </w:pPr>
      <w:r>
        <w:t xml:space="preserve">Only 42% of pregnant women in informal settlements receive adequate prenatal care (Ministry of Health).</w:t>
      </w:r>
    </w:p>
    <w:p>
      <w:pPr>
        <w:numPr>
          <w:ilvl w:val="0"/>
          <w:numId w:val="1003"/>
        </w:numPr>
        <w:pStyle w:val="Compact"/>
      </w:pPr>
      <w:r>
        <w:t xml:space="preserve">High demand for non-hospital birth options: Our Midwife services represent the fastest-growing alternative to traditional clinic-based obstetrics in Colombia Medellín.</w:t>
      </w:r>
    </w:p>
    <w:p>
      <w:pPr>
        <w:pStyle w:val="FirstParagraph"/>
      </w:pPr>
      <w:r>
        <w:t xml:space="preserve">Our Sales Report identifies a pivotal market shift: 68% of new clients now cite "cultural compatibility" as their primary selection factor—highlighting our community-integrated midwifery model. In contrast, traditional clinics scored only 29% on this metric in recent patient satisfaction surveys.</w:t>
      </w:r>
    </w:p>
    <w:bookmarkEnd w:id="24"/>
    <w:bookmarkStart w:id="25" w:name="customer-insights-from-colombia-medellín"/>
    <w:p>
      <w:pPr>
        <w:pStyle w:val="Heading2"/>
      </w:pPr>
      <w:r>
        <w:t xml:space="preserve">Customer Insights from Colombia Medellín</w:t>
      </w:r>
    </w:p>
    <w:p>
      <w:pPr>
        <w:pStyle w:val="FirstParagraph"/>
      </w:pPr>
      <w:r>
        <w:t xml:space="preserve">Qualitative data from post-service surveys (n=450) reveals compelling insights:</w:t>
      </w:r>
    </w:p>
    <w:p>
      <w:pPr>
        <w:pStyle w:val="BlockText"/>
      </w:pPr>
      <w:r>
        <w:t xml:space="preserve">"The Midwife at our local community center understood my cultural needs as a Wayúu woman in Medellín. She spoke Guarani during appointments and knew about our traditional remedies." – Maria L., Comuna 12 client, Q3 2023.</w:t>
      </w:r>
    </w:p>
    <w:p>
      <w:pPr>
        <w:pStyle w:val="BlockText"/>
      </w:pPr>
      <w:r>
        <w:t xml:space="preserve">"After two complications at public hospitals, I chose the Midwife service here because they offered continuous care from pregnancy through breastfeeding. No more hospital transfers." – Carlos M., Poblado resident.</w:t>
      </w:r>
    </w:p>
    <w:p>
      <w:pPr>
        <w:pStyle w:val="FirstParagraph"/>
      </w:pPr>
      <w:r>
        <w:t xml:space="preserve">These testimonials directly influenced our 2023 expansion strategy, resulting in:</w:t>
      </w:r>
    </w:p>
    <w:p>
      <w:pPr>
        <w:numPr>
          <w:ilvl w:val="0"/>
          <w:numId w:val="1004"/>
        </w:numPr>
        <w:pStyle w:val="Compact"/>
      </w:pPr>
      <w:r>
        <w:t xml:space="preserve">Hiring 5 additional bilingual (Spanish/Indigenous language) midwives for Comuna 10.</w:t>
      </w:r>
    </w:p>
    <w:p>
      <w:pPr>
        <w:numPr>
          <w:ilvl w:val="0"/>
          <w:numId w:val="1004"/>
        </w:numPr>
        <w:pStyle w:val="Compact"/>
      </w:pPr>
      <w:r>
        <w:t xml:space="preserve">Implementing "Community Health Ambassador" program recruiting local women as service navigators.</w:t>
      </w:r>
    </w:p>
    <w:bookmarkEnd w:id="25"/>
    <w:bookmarkStart w:id="26" w:name="challenges-strategic-opportunities"/>
    <w:p>
      <w:pPr>
        <w:pStyle w:val="Heading2"/>
      </w:pPr>
      <w:r>
        <w:t xml:space="preserve">Challenges &amp; Strategic Opportunities</w:t>
      </w:r>
    </w:p>
    <w:p>
      <w:pPr>
        <w:pStyle w:val="FirstParagraph"/>
      </w:pPr>
      <w:r>
        <w:t xml:space="preserve">This Sales Report identifies two critical challenges requiring immediate action:</w:t>
      </w:r>
    </w:p>
    <w:p>
      <w:pPr>
        <w:numPr>
          <w:ilvl w:val="0"/>
          <w:numId w:val="1005"/>
        </w:numPr>
        <w:pStyle w:val="Compact"/>
      </w:pPr>
      <w:r>
        <w:rPr>
          <w:bCs/>
          <w:b/>
        </w:rPr>
        <w:t xml:space="preserve">Supply-Demand Imbalance:</w:t>
      </w:r>
      <w:r>
        <w:t xml:space="preserve"> </w:t>
      </w:r>
      <w:r>
        <w:t xml:space="preserve">Midwife shortage in Comunas 5-9. Current ratio: 1 midwife per 12,000 women vs. WHO recommendation of 1:6,800.</w:t>
      </w:r>
    </w:p>
    <w:p>
      <w:pPr>
        <w:numPr>
          <w:ilvl w:val="0"/>
          <w:numId w:val="1005"/>
        </w:numPr>
        <w:pStyle w:val="Compact"/>
      </w:pPr>
      <w:r>
        <w:rPr>
          <w:bCs/>
          <w:b/>
        </w:rPr>
        <w:t xml:space="preserve">Insurance Reimbursement Barriers:</w:t>
      </w:r>
      <w:r>
        <w:t xml:space="preserve"> </w:t>
      </w:r>
      <w:r>
        <w:t xml:space="preserve">Only 48% of public insurance providers cover our full service package in Colombia Medellín.</w:t>
      </w:r>
    </w:p>
    <w:p>
      <w:pPr>
        <w:pStyle w:val="FirstParagraph"/>
      </w:pPr>
      <w:r>
        <w:t xml:space="preserve">Conversely, we identified three high-impact opportunities:</w:t>
      </w:r>
    </w:p>
    <w:p>
      <w:pPr>
        <w:numPr>
          <w:ilvl w:val="0"/>
          <w:numId w:val="1006"/>
        </w:numPr>
        <w:pStyle w:val="Compact"/>
      </w:pPr>
      <w:r>
        <w:rPr>
          <w:bCs/>
          <w:b/>
        </w:rPr>
        <w:t xml:space="preserve">Digital Expansion:</w:t>
      </w:r>
      <w:r>
        <w:t xml:space="preserve"> </w:t>
      </w:r>
      <w:r>
        <w:t xml:space="preserve">Launching our "Mamá Segura" app (Q1 2024) for virtual midwife consultations—projected to increase sales by 30%.</w:t>
      </w:r>
    </w:p>
    <w:p>
      <w:pPr>
        <w:numPr>
          <w:ilvl w:val="0"/>
          <w:numId w:val="1006"/>
        </w:numPr>
        <w:pStyle w:val="Compact"/>
      </w:pPr>
      <w:r>
        <w:rPr>
          <w:bCs/>
          <w:b/>
        </w:rPr>
        <w:t xml:space="preserve">Public-Private Partnerships:</w:t>
      </w:r>
      <w:r>
        <w:t xml:space="preserve"> </w:t>
      </w:r>
      <w:r>
        <w:t xml:space="preserve">Finalizing agreement with Medellín's municipal health department to integrate midwifery into community clinics (potential revenue: $1.8M annually).</w:t>
      </w:r>
    </w:p>
    <w:p>
      <w:pPr>
        <w:numPr>
          <w:ilvl w:val="0"/>
          <w:numId w:val="1006"/>
        </w:numPr>
        <w:pStyle w:val="Compact"/>
      </w:pPr>
      <w:r>
        <w:rPr>
          <w:bCs/>
          <w:b/>
        </w:rPr>
        <w:t xml:space="preserve">Cultural Certification:</w:t>
      </w:r>
      <w:r>
        <w:t xml:space="preserve"> </w:t>
      </w:r>
      <w:r>
        <w:t xml:space="preserve">Developing indigenous language competency certification for all Midwife staff—addressing key client retention factor.</w:t>
      </w:r>
    </w:p>
    <w:bookmarkEnd w:id="26"/>
    <w:bookmarkStart w:id="27" w:name="X5d8122857ba69856a5bff642b1f126cecf347d7"/>
    <w:p>
      <w:pPr>
        <w:pStyle w:val="Heading2"/>
      </w:pPr>
      <w:r>
        <w:t xml:space="preserve">Financial Outlook &amp; Strategic Recommendations</w:t>
      </w:r>
    </w:p>
    <w:p>
      <w:pPr>
        <w:pStyle w:val="FirstParagraph"/>
      </w:pPr>
      <w:r>
        <w:t xml:space="preserve">The Sales Report projects a 35% revenue increase for 2024 based on current trajectory. To maintain momentum in Colombia Medellín, we recommend:</w:t>
      </w:r>
    </w:p>
    <w:p>
      <w:pPr>
        <w:numPr>
          <w:ilvl w:val="0"/>
          <w:numId w:val="1007"/>
        </w:numPr>
        <w:pStyle w:val="Compact"/>
      </w:pPr>
      <w:r>
        <w:rPr>
          <w:bCs/>
          <w:b/>
        </w:rPr>
        <w:t xml:space="preserve">Accelerate Recruitment:</w:t>
      </w:r>
      <w:r>
        <w:t xml:space="preserve"> </w:t>
      </w:r>
      <w:r>
        <w:t xml:space="preserve">Secure $780M COP funding to hire 12 new midwives by Q2 2024, targeting underserved Comunas.</w:t>
      </w:r>
    </w:p>
    <w:p>
      <w:pPr>
        <w:numPr>
          <w:ilvl w:val="0"/>
          <w:numId w:val="1007"/>
        </w:numPr>
        <w:pStyle w:val="Compact"/>
      </w:pPr>
      <w:r>
        <w:rPr>
          <w:bCs/>
          <w:b/>
        </w:rPr>
        <w:t xml:space="preserve">Negotiate Insurance Contracts:</w:t>
      </w:r>
      <w:r>
        <w:t xml:space="preserve"> </w:t>
      </w:r>
      <w:r>
        <w:t xml:space="preserve">Dedicated team for Medicaid negotiations with EPS (Health Provider Entities) across Medellín.</w:t>
      </w:r>
    </w:p>
    <w:p>
      <w:pPr>
        <w:numPr>
          <w:ilvl w:val="0"/>
          <w:numId w:val="1007"/>
        </w:numPr>
        <w:pStyle w:val="Compact"/>
      </w:pPr>
      <w:r>
        <w:rPr>
          <w:bCs/>
          <w:b/>
        </w:rPr>
        <w:t xml:space="preserve">Expand Rural Reach:</w:t>
      </w:r>
      <w:r>
        <w:t xml:space="preserve"> </w:t>
      </w:r>
      <w:r>
        <w:t xml:space="preserve">Launch "Midwife on Wheels" mobile units serving 5 new rural communities in the Antioquia region.</w:t>
      </w:r>
    </w:p>
    <w:bookmarkEnd w:id="27"/>
    <w:bookmarkStart w:id="28" w:name="conclusion"/>
    <w:p>
      <w:pPr>
        <w:pStyle w:val="Heading2"/>
      </w:pPr>
      <w:r>
        <w:t xml:space="preserve">Conclusion</w:t>
      </w:r>
    </w:p>
    <w:p>
      <w:pPr>
        <w:pStyle w:val="FirstParagraph"/>
      </w:pPr>
      <w:r>
        <w:t xml:space="preserve">This Sales Report affirms that our Midwife service model delivers exceptional value within Colombia Medellín's unique healthcare ecosystem. The 27% revenue growth and 78% retention rate prove that community-centered, culturally responsive midwifery is not merely viable—it's becoming the preferred standard for maternal care in urban Colombia. As we enter 2024, our focus remains on scaling this successful model while addressing systemic gaps in Colombia's maternal health system. The success of our Midwife services demonstrates that when healthcare aligns with cultural identity and community needs, both patient outcomes and business performance thrive—making Medellín a blueprint for the rest of Colombia.</w:t>
      </w:r>
    </w:p>
    <w:p>
      <w:pPr>
        <w:pStyle w:val="BodyText"/>
      </w:pPr>
      <w:r>
        <w:rPr>
          <w:bCs/>
          <w:b/>
        </w:rPr>
        <w:t xml:space="preserve">Prepared by:</w:t>
      </w:r>
      <w:r>
        <w:t xml:space="preserve"> </w:t>
      </w:r>
      <w:r>
        <w:t xml:space="preserve">María Fernanda Torres, Director of Sales &amp; Strategy</w:t>
      </w:r>
      <w:r>
        <w:br/>
      </w:r>
      <w:r>
        <w:rPr>
          <w:bCs/>
          <w:b/>
        </w:rPr>
        <w:t xml:space="preserve">Maternal Health Initiative Colombia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 Medellín, Colombia</dc:title>
  <dc:creator/>
  <dc:language>en</dc:language>
  <cp:keywords/>
  <dcterms:created xsi:type="dcterms:W3CDTF">2026-07-24T05:00:46Z</dcterms:created>
  <dcterms:modified xsi:type="dcterms:W3CDTF">2026-07-24T05:00:46Z</dcterms:modified>
</cp:coreProperties>
</file>

<file path=docProps/custom.xml><?xml version="1.0" encoding="utf-8"?>
<Properties xmlns="http://schemas.openxmlformats.org/officeDocument/2006/custom-properties" xmlns:vt="http://schemas.openxmlformats.org/officeDocument/2006/docPropsVTypes"/>
</file>