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28" w:name="X143bbcafeea306584d91148ad2e70e8d3229501"/>
    <w:p>
      <w:pPr>
        <w:pStyle w:val="Heading1"/>
      </w:pPr>
      <w:r>
        <w:t xml:space="preserve">Quarterly Sales Report: Midwife Services Market Analysis &amp; Performance in Frankfurt, Germany</w:t>
      </w:r>
    </w:p>
    <w:bookmarkStart w:id="20" w:name="executive-summary"/>
    <w:p>
      <w:pPr>
        <w:pStyle w:val="Heading2"/>
      </w:pPr>
      <w:r>
        <w:t xml:space="preserve">Executive Summary</w:t>
      </w:r>
    </w:p>
    <w:p>
      <w:pPr>
        <w:pStyle w:val="FirstParagraph"/>
      </w:pPr>
      <w:r>
        <w:t xml:space="preserve">This comprehensive Sales Report details the performance and strategic outlook for midwife service offerings within Frankfurt, Germany. As of Q3 2023, our midwife-focused service portfolio has demonstrated significant growth potential amid Frankfurt's dynamic healthcare landscape. The city's population of over 750,000 residents—including a substantial demographic of expectant mothers—creates an ideal market for specialized maternal care solutions. This report outlines key sales metrics, competitive positioning, and strategic initiatives specifically tailored to the German midwife service sector in Frankfurt.</w:t>
      </w:r>
    </w:p>
    <w:bookmarkEnd w:id="20"/>
    <w:bookmarkStart w:id="21" w:name="X364323c38224802401d71b175ef73d8fd89dd9b"/>
    <w:p>
      <w:pPr>
        <w:pStyle w:val="Heading2"/>
      </w:pPr>
      <w:r>
        <w:t xml:space="preserve">Market Context: Midwife Services in Germany Frankfurt</w:t>
      </w:r>
    </w:p>
    <w:p>
      <w:pPr>
        <w:pStyle w:val="FirstParagraph"/>
      </w:pPr>
      <w:r>
        <w:t xml:space="preserve">Frankfurt serves as a critical hub for healthcare innovation within Hesse state, where statutory health insurance (SHI) covers 85% of midwifery services under the German Healthcare System. Unlike many European cities, Frankfurt has seen a 12% annual increase in demand for independent midwife practices since 2020, driven by rising maternal preference for personalized birth experiences and postpartum care. Our analysis confirms that over 68% of Frankfurt-based expectant mothers now seek direct midwife services—either as primary caregivers or complementary to hospital care—significantly outpacing the national average.</w:t>
      </w:r>
    </w:p>
    <w:bookmarkEnd w:id="21"/>
    <w:bookmarkStart w:id="22" w:name="sales-performance-overview-q3-2023"/>
    <w:p>
      <w:pPr>
        <w:pStyle w:val="Heading2"/>
      </w:pPr>
      <w:r>
        <w:t xml:space="preserve">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w:t>
            </w:r>
          </w:p>
        </w:tc>
        <w:tc>
          <w:tcPr/>
          <w:p>
            <w:pPr>
              <w:pStyle w:val="Compact"/>
              <w:jc w:val="left"/>
            </w:pPr>
            <w:r>
              <w:t xml:space="preserve">YoY Growth</w:t>
            </w:r>
          </w:p>
        </w:tc>
        <w:tc>
          <w:tcPr/>
          <w:p>
            <w:pPr>
              <w:pStyle w:val="Compact"/>
              <w:jc w:val="left"/>
            </w:pPr>
            <w:r>
              <w:t xml:space="preserve">Market Share in Frankfurt</w:t>
            </w:r>
          </w:p>
        </w:tc>
      </w:tr>
      <w:tr>
        <w:tc>
          <w:tcPr/>
          <w:p>
            <w:pPr>
              <w:pStyle w:val="Compact"/>
              <w:jc w:val="left"/>
            </w:pPr>
            <w:r>
              <w:t xml:space="preserve">Prenatal Midwife Consultations</w:t>
            </w:r>
          </w:p>
        </w:tc>
        <w:tc>
          <w:tcPr/>
          <w:p>
            <w:pPr>
              <w:pStyle w:val="Compact"/>
              <w:jc w:val="left"/>
            </w:pPr>
            <w:r>
              <w:t xml:space="preserve">184,500</w:t>
            </w:r>
          </w:p>
        </w:tc>
        <w:tc>
          <w:tcPr/>
          <w:p>
            <w:pPr>
              <w:pStyle w:val="Compact"/>
              <w:jc w:val="left"/>
            </w:pPr>
            <w:r>
              <w:t xml:space="preserve">+22.3%</w:t>
            </w:r>
          </w:p>
        </w:tc>
        <w:tc>
          <w:tcPr/>
          <w:p>
            <w:pPr>
              <w:pStyle w:val="Compact"/>
              <w:jc w:val="left"/>
            </w:pPr>
            <w:r>
              <w:t xml:space="preserve">41%</w:t>
            </w:r>
          </w:p>
        </w:tc>
      </w:tr>
      <w:tr>
        <w:tc>
          <w:tcPr/>
          <w:p>
            <w:pPr>
              <w:pStyle w:val="Compact"/>
              <w:jc w:val="left"/>
            </w:pPr>
            <w:r>
              <w:t xml:space="preserve">Birth Attendance Services</w:t>
            </w:r>
          </w:p>
        </w:tc>
        <w:tc>
          <w:tcPr/>
          <w:p>
            <w:pPr>
              <w:pStyle w:val="Compact"/>
              <w:jc w:val="left"/>
            </w:pPr>
            <w:r>
              <w:t xml:space="preserve">317,800</w:t>
            </w:r>
          </w:p>
        </w:tc>
        <w:tc>
          <w:tcPr/>
          <w:p>
            <w:pPr>
              <w:pStyle w:val="Compact"/>
              <w:jc w:val="left"/>
            </w:pPr>
            <w:r>
              <w:t xml:space="preserve">+18.7%</w:t>
            </w:r>
          </w:p>
        </w:tc>
        <w:tc>
          <w:tcPr/>
          <w:p>
            <w:pPr>
              <w:pStyle w:val="Compact"/>
              <w:jc w:val="left"/>
            </w:pPr>
            <w:r>
              <w:t xml:space="preserve">36%</w:t>
            </w:r>
          </w:p>
        </w:tc>
      </w:tr>
      <w:tr>
        <w:tc>
          <w:tcPr/>
          <w:p>
            <w:pPr>
              <w:pStyle w:val="Compact"/>
              <w:jc w:val="left"/>
            </w:pPr>
            <w:r>
              <w:t xml:space="preserve">Postpartum Home Visits</w:t>
            </w:r>
          </w:p>
        </w:tc>
        <w:tc>
          <w:tcPr/>
          <w:p>
            <w:pPr>
              <w:pStyle w:val="Compact"/>
              <w:jc w:val="left"/>
            </w:pPr>
            <w:r>
              <w:t xml:space="preserve">92,400</w:t>
            </w:r>
          </w:p>
        </w:tc>
        <w:tc>
          <w:tcPr/>
          <w:p>
            <w:pPr>
              <w:pStyle w:val="Compact"/>
              <w:jc w:val="left"/>
            </w:pPr>
            <w:r>
              <w:t xml:space="preserve">+31.5%</w:t>
            </w:r>
          </w:p>
        </w:tc>
        <w:tc>
          <w:tcPr/>
          <w:p>
            <w:pPr>
              <w:pStyle w:val="Compact"/>
              <w:jc w:val="left"/>
            </w:pPr>
            <w:r>
              <w:t xml:space="preserve">28%</w:t>
            </w:r>
          </w:p>
        </w:tc>
      </w:tr>
      <w:tr>
        <w:tc>
          <w:tcPr/>
          <w:p>
            <w:pPr>
              <w:pStyle w:val="Compact"/>
              <w:jc w:val="left"/>
            </w:pPr>
            <w:r>
              <w:rPr>
                <w:bCs/>
                <w:b/>
              </w:rPr>
              <w:t xml:space="preserve">Total Midwife Services Revenue</w:t>
            </w:r>
          </w:p>
        </w:tc>
        <w:tc>
          <w:tcPr/>
          <w:p>
            <w:pPr>
              <w:pStyle w:val="Compact"/>
              <w:jc w:val="left"/>
            </w:pPr>
            <w:r>
              <w:rPr>
                <w:bCs/>
                <w:b/>
              </w:rPr>
              <w:t xml:space="preserve">594,700</w:t>
            </w:r>
          </w:p>
        </w:tc>
        <w:tc>
          <w:tcPr/>
          <w:p>
            <w:pPr>
              <w:pStyle w:val="Compact"/>
              <w:jc w:val="left"/>
            </w:pPr>
            <w:r>
              <w:rPr>
                <w:bCs/>
                <w:b/>
              </w:rPr>
              <w:t xml:space="preserve">+23.1%</w:t>
            </w:r>
          </w:p>
        </w:tc>
        <w:tc>
          <w:tcPr/>
          <w:p>
            <w:pPr>
              <w:pStyle w:val="Compact"/>
              <w:jc w:val="left"/>
            </w:pPr>
            <w:r>
              <w:rPr>
                <w:bCs/>
                <w:b/>
              </w:rPr>
              <w:t xml:space="preserve">34.2%</w:t>
            </w:r>
          </w:p>
        </w:tc>
      </w:tr>
    </w:tbl>
    <w:bookmarkEnd w:id="22"/>
    <w:bookmarkStart w:id="23" w:name="X24d625800699973564bd48dbf4056c019862e24"/>
    <w:p>
      <w:pPr>
        <w:pStyle w:val="Heading2"/>
      </w:pPr>
      <w:r>
        <w:t xml:space="preserve">Key Success Factors Driving Midwife Sales in Frankfurt</w:t>
      </w:r>
    </w:p>
    <w:p>
      <w:pPr>
        <w:pStyle w:val="FirstParagraph"/>
      </w:pPr>
      <w:r>
        <w:t xml:space="preserve">Our sales team has identified three critical drivers behind the strong performance of midwife services in Frankfurt:</w:t>
      </w:r>
    </w:p>
    <w:p>
      <w:pPr>
        <w:numPr>
          <w:ilvl w:val="0"/>
          <w:numId w:val="1001"/>
        </w:numPr>
        <w:pStyle w:val="Compact"/>
      </w:pPr>
      <w:r>
        <w:rPr>
          <w:bCs/>
          <w:b/>
        </w:rPr>
        <w:t xml:space="preserve">Insurance Integration:</w:t>
      </w:r>
      <w:r>
        <w:t xml:space="preserve"> </w:t>
      </w:r>
      <w:r>
        <w:t xml:space="preserve">Strategic partnerships with major German insurers (TK, AOK, DAK) have streamlined reimbursement for midwife services. Frankfurt-based practices now report 92% insurance coverage approval rates versus 78% nationally.</w:t>
      </w:r>
    </w:p>
    <w:p>
      <w:pPr>
        <w:numPr>
          <w:ilvl w:val="0"/>
          <w:numId w:val="1001"/>
        </w:numPr>
        <w:pStyle w:val="Compact"/>
      </w:pPr>
      <w:r>
        <w:rPr>
          <w:bCs/>
          <w:b/>
        </w:rPr>
        <w:t xml:space="preserve">Cultural Demand:</w:t>
      </w:r>
      <w:r>
        <w:t xml:space="preserve"> </w:t>
      </w:r>
      <w:r>
        <w:t xml:space="preserve">Frankfurt's diverse population—including a growing expatriate community—increases preference for holistic, non-institutional birth experiences. Midwife service inquiries rose by 37% among international families compared to German-born clients.</w:t>
      </w:r>
    </w:p>
    <w:p>
      <w:pPr>
        <w:numPr>
          <w:ilvl w:val="0"/>
          <w:numId w:val="1001"/>
        </w:numPr>
        <w:pStyle w:val="Compact"/>
      </w:pPr>
      <w:r>
        <w:rPr>
          <w:bCs/>
          <w:b/>
        </w:rPr>
        <w:t xml:space="preserve">Digital Onboarding:</w:t>
      </w:r>
      <w:r>
        <w:t xml:space="preserve"> </w:t>
      </w:r>
      <w:r>
        <w:t xml:space="preserve">Implementation of our Frankfurt-specific telehealth platform reduced client acquisition costs by 28% while increasing consultation bookings by 45%. Patients now book midwife services via the "Frankfurt Mutter &amp; Baby" mobile app (17,300 active users).</w:t>
      </w:r>
    </w:p>
    <w:bookmarkEnd w:id="23"/>
    <w:bookmarkStart w:id="24" w:name="competitive-landscape-analysis"/>
    <w:p>
      <w:pPr>
        <w:pStyle w:val="Heading2"/>
      </w:pPr>
      <w:r>
        <w:t xml:space="preserve">Competitive Landscape Analysis</w:t>
      </w:r>
    </w:p>
    <w:p>
      <w:pPr>
        <w:pStyle w:val="FirstParagraph"/>
      </w:pPr>
      <w:r>
        <w:t xml:space="preserve">The Frankfurt midwife service market features four key competitors: City Hospital Frankfurt Midwifery Department (35% market share), Private Practice Alliance (24%), Independent Midwives Network (18%), and our organization at 34.2%. Our competitive edge stems from:</w:t>
      </w:r>
    </w:p>
    <w:p>
      <w:pPr>
        <w:numPr>
          <w:ilvl w:val="0"/>
          <w:numId w:val="1002"/>
        </w:numPr>
        <w:pStyle w:val="Compact"/>
      </w:pPr>
      <w:r>
        <w:t xml:space="preserve">Specialized "Frankfurt Birth Journey" packages with bilingual midwives catering to the city's international population</w:t>
      </w:r>
    </w:p>
    <w:p>
      <w:pPr>
        <w:numPr>
          <w:ilvl w:val="0"/>
          <w:numId w:val="1002"/>
        </w:numPr>
        <w:pStyle w:val="Compact"/>
      </w:pPr>
      <w:r>
        <w:t xml:space="preserve">Exclusive contracts with 12 clinics across Frankfurt, including the Goethe University Hospital maternity ward</w:t>
      </w:r>
    </w:p>
    <w:p>
      <w:pPr>
        <w:numPr>
          <w:ilvl w:val="0"/>
          <w:numId w:val="1002"/>
        </w:numPr>
        <w:pStyle w:val="Compact"/>
      </w:pPr>
      <w:r>
        <w:t xml:space="preserve">Compliance with all German regulations (including §43b SGB V for midwife scope of practice)</w:t>
      </w:r>
    </w:p>
    <w:bookmarkEnd w:id="24"/>
    <w:bookmarkStart w:id="25" w:name="X528cda42e7c6272b381e84ca8ff9767c8e4bb8d"/>
    <w:p>
      <w:pPr>
        <w:pStyle w:val="Heading2"/>
      </w:pPr>
      <w:r>
        <w:t xml:space="preserve">Challenges in Germany Frankfurt Midwife Sales</w:t>
      </w:r>
    </w:p>
    <w:p>
      <w:pPr>
        <w:pStyle w:val="FirstParagraph"/>
      </w:pPr>
      <w:r>
        <w:t xml:space="preserve">Despite strong growth, sales teams face specific regional challenges:</w:t>
      </w:r>
    </w:p>
    <w:p>
      <w:pPr>
        <w:pStyle w:val="BlockText"/>
      </w:pPr>
      <w:r>
        <w:t xml:space="preserve">"Frankfurt's high cost of living impacts service pricing. While demand is robust, 63% of midwives report declining net revenue due to rising rental costs in central districts like Sachsenhausen and Bornheim. Our sales strategy must now balance competitive pricing with quality assurance."</w:t>
      </w:r>
      <w:r>
        <w:t xml:space="preserve"> </w:t>
      </w:r>
      <w:r>
        <w:t xml:space="preserve">— Dr. Lena Müller, Frankfurt Healthcare Market Analyst</w:t>
      </w:r>
    </w:p>
    <w:p>
      <w:pPr>
        <w:pStyle w:val="FirstParagraph"/>
      </w:pPr>
      <w:r>
        <w:t xml:space="preserve">Additional challenges include complex insurance documentation requirements unique to Hesse state regulations and seasonal fluctuations during Frankfurt's major events (e.g., IAA Motor Show), when client bookings temporarily drop 15%.</w:t>
      </w:r>
    </w:p>
    <w:bookmarkEnd w:id="25"/>
    <w:bookmarkStart w:id="26" w:name="X8f9973a811b43cb63d64762ab64454928f61d42"/>
    <w:p>
      <w:pPr>
        <w:pStyle w:val="Heading2"/>
      </w:pPr>
      <w:r>
        <w:t xml:space="preserve">Strategic Recommendations for Midwife Sales Growth</w:t>
      </w:r>
    </w:p>
    <w:p>
      <w:pPr>
        <w:pStyle w:val="FirstParagraph"/>
      </w:pPr>
      <w:r>
        <w:t xml:space="preserve">To capitalize on Frankfurt's midwife market potential, we propose the following initiatives:</w:t>
      </w:r>
    </w:p>
    <w:p>
      <w:pPr>
        <w:numPr>
          <w:ilvl w:val="0"/>
          <w:numId w:val="1003"/>
        </w:numPr>
        <w:pStyle w:val="Compact"/>
      </w:pPr>
      <w:r>
        <w:rPr>
          <w:bCs/>
          <w:b/>
        </w:rPr>
        <w:t xml:space="preserve">Expand Digital Presence:</w:t>
      </w:r>
      <w:r>
        <w:t xml:space="preserve"> </w:t>
      </w:r>
      <w:r>
        <w:t xml:space="preserve">Develop a German-language SEO strategy targeting "Hebamme Frankfurt" and "Geburtshilfe im Rhein-Main" keywords to capture 30% more organic traffic by Q1 2024.</w:t>
      </w:r>
    </w:p>
    <w:p>
      <w:pPr>
        <w:numPr>
          <w:ilvl w:val="0"/>
          <w:numId w:val="1003"/>
        </w:numPr>
        <w:pStyle w:val="Compact"/>
      </w:pPr>
      <w:r>
        <w:rPr>
          <w:bCs/>
          <w:b/>
        </w:rPr>
        <w:t xml:space="preserve">Partner with Frankfurt Employers:</w:t>
      </w:r>
      <w:r>
        <w:t xml:space="preserve"> </w:t>
      </w:r>
      <w:r>
        <w:t xml:space="preserve">Secure corporate wellness partnerships with major companies (e.g., Deutsche Bank, Siemens) to offer midwife services as employee benefits, targeting 50 new corporate contracts in Hesse.</w:t>
      </w:r>
    </w:p>
    <w:p>
      <w:pPr>
        <w:numPr>
          <w:ilvl w:val="0"/>
          <w:numId w:val="1003"/>
        </w:numPr>
        <w:pStyle w:val="Compact"/>
      </w:pPr>
      <w:r>
        <w:rPr>
          <w:bCs/>
          <w:b/>
        </w:rPr>
        <w:t xml:space="preserve">Community Outreach:</w:t>
      </w:r>
      <w:r>
        <w:t xml:space="preserve"> </w:t>
      </w:r>
      <w:r>
        <w:t xml:space="preserve">Launch free prenatal workshops at Frankfurt public libraries and community centers (targeting 40 locations citywide), increasing brand visibility among key demographics.</w:t>
      </w:r>
    </w:p>
    <w:p>
      <w:pPr>
        <w:numPr>
          <w:ilvl w:val="0"/>
          <w:numId w:val="1003"/>
        </w:numPr>
        <w:pStyle w:val="Compact"/>
      </w:pPr>
      <w:r>
        <w:rPr>
          <w:bCs/>
          <w:b/>
        </w:rPr>
        <w:t xml:space="preserve">Pricing Optimization:</w:t>
      </w:r>
      <w:r>
        <w:t xml:space="preserve"> </w:t>
      </w:r>
      <w:r>
        <w:t xml:space="preserve">Introduce tiered service packages (Basic, Premium, VIP) to address Frankfurt's income diversity while maintaining profitability.</w:t>
      </w:r>
    </w:p>
    <w:bookmarkEnd w:id="26"/>
    <w:bookmarkStart w:id="27" w:name="X4f3278a188f617ebbb7a8a53a7fbff6f5ab118c"/>
    <w:p>
      <w:pPr>
        <w:pStyle w:val="Heading2"/>
      </w:pPr>
      <w:r>
        <w:t xml:space="preserve">Conclusion: The Future of Midwife Sales in Germany Frankfurt</w:t>
      </w:r>
    </w:p>
    <w:p>
      <w:pPr>
        <w:pStyle w:val="FirstParagraph"/>
      </w:pPr>
      <w:r>
        <w:t xml:space="preserve">The German midwife services market in Frankfurt represents a high-growth opportunity with clear pathways for expansion. Our Q3 sales performance—exceeding targets by 18%—validates the strategic approach to positioning midwife services within Frankfurt's unique healthcare ecosystem. As statutory health insurance continues evolving, and Frankfurt's population grows toward 800,000 residents by 2025, demand for professional midwifery will only intensify.</w:t>
      </w:r>
    </w:p>
    <w:p>
      <w:pPr>
        <w:pStyle w:val="BodyText"/>
      </w:pPr>
      <w:r>
        <w:t xml:space="preserve">For Germany-based sales teams focusing on midwife services, the key to sustainable growth lies in hyper-localized strategies that respect Frankfurt's cultural diversity and regulatory environment. By maintaining our leadership in the Frankfurt market through innovation and patient-centric service delivery, we project a 25% annual revenue increase for midwife services by 2024. The future of maternal care in Germany's financial capital hinges on elevating midwifery from a supplementary service to an essential healthcare pillar—and our sales strategy is positioned to lead this transformation.</w:t>
      </w:r>
    </w:p>
    <w:p>
      <w:pPr>
        <w:pStyle w:val="BodyText"/>
      </w:pPr>
      <w:r>
        <w:rPr>
          <w:bCs/>
          <w:b/>
        </w:rPr>
        <w:t xml:space="preserve">Prepared for:</w:t>
      </w:r>
      <w:r>
        <w:t xml:space="preserve"> </w:t>
      </w:r>
      <w:r>
        <w:t xml:space="preserve">Frankfurt Healthcare Leadership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Midwife Services in Frankfurt, Germany</dc:title>
  <dc:creator/>
  <dc:language>en</dc:language>
  <cp:keywords/>
  <dcterms:created xsi:type="dcterms:W3CDTF">2026-07-21T08:46:42Z</dcterms:created>
  <dcterms:modified xsi:type="dcterms:W3CDTF">2026-07-21T08:46:42Z</dcterms:modified>
</cp:coreProperties>
</file>

<file path=docProps/custom.xml><?xml version="1.0" encoding="utf-8"?>
<Properties xmlns="http://schemas.openxmlformats.org/officeDocument/2006/custom-properties" xmlns:vt="http://schemas.openxmlformats.org/officeDocument/2006/docPropsVTypes"/>
</file>