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Operations</w:t>
      </w:r>
    </w:p>
    <w:bookmarkStart w:id="20" w:name="Xf4ce625ec417f33a58e31cb70493e29ce75afd9"/>
    <w:p>
      <w:pPr>
        <w:pStyle w:val="Heading1"/>
      </w:pPr>
      <w:r>
        <w:t xml:space="preserve">MIDWIFE SALES REPORT: KENYA NAIROBI OPERATIONS</w:t>
      </w:r>
    </w:p>
    <w:p>
      <w:pPr>
        <w:pStyle w:val="FirstParagraph"/>
      </w:pPr>
      <w:r>
        <w:t xml:space="preserve">Q3 2023 Performance Analysis &amp; Strategic Outlook</w:t>
      </w:r>
    </w:p>
    <w:p>
      <w:pPr>
        <w:pStyle w:val="BodyText"/>
      </w:pPr>
      <w:r>
        <w:t xml:space="preserve">Prepared for: Nairobi Maternal Health Initiative Board</w:t>
      </w:r>
    </w:p>
    <w:bookmarkEnd w:id="20"/>
    <w:bookmarkStart w:id="21" w:name="executive-summary"/>
    <w:p>
      <w:pPr>
        <w:pStyle w:val="Heading2"/>
      </w:pPr>
      <w:r>
        <w:t xml:space="preserve">Executive Summary</w:t>
      </w:r>
    </w:p>
    <w:p>
      <w:pPr>
        <w:pStyle w:val="FirstParagraph"/>
      </w:pPr>
      <w:r>
        <w:t xml:space="preserve">This Sales Report details the operational and financial performance of our midwife services across Kenya Nairobi during Q3 2023. The report demonstrates a 17% year-over-year growth in client acquisition and a 12% increase in revenue, positioning our Midwife practice as a critical community health resource in Nairobi's underserved neighborhoods. With over 450 successful maternal care engagements delivered this quarter alone, our Nairobi operations have become the cornerstone of accessible maternal healthcare within Kenya's urban landscape. This document not only analyzes current sales performance but also outlines strategic pathways to further strengthen our Midwife service delivery network throughout Nairobi.</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Clients</w:t>
            </w:r>
          </w:p>
        </w:tc>
        <w:tc>
          <w:tcPr/>
          <w:p>
            <w:pPr>
              <w:pStyle w:val="Compact"/>
              <w:jc w:val="left"/>
            </w:pPr>
            <w:r>
              <w:t xml:space="preserve">% Growth vs Q2 2023</w:t>
            </w:r>
          </w:p>
        </w:tc>
        <w:tc>
          <w:tcPr/>
          <w:p>
            <w:pPr>
              <w:pStyle w:val="Compact"/>
              <w:jc w:val="left"/>
            </w:pPr>
            <w:r>
              <w:t xml:space="preserve">Avg. Revenue per Client (KES)</w:t>
            </w:r>
          </w:p>
        </w:tc>
      </w:tr>
      <w:tr>
        <w:tc>
          <w:tcPr/>
          <w:p>
            <w:pPr>
              <w:pStyle w:val="Compact"/>
              <w:jc w:val="left"/>
            </w:pPr>
            <w:r>
              <w:t xml:space="preserve">Prenatal Consultations</w:t>
            </w:r>
          </w:p>
        </w:tc>
        <w:tc>
          <w:tcPr/>
          <w:p>
            <w:pPr>
              <w:pStyle w:val="Compact"/>
              <w:jc w:val="left"/>
            </w:pPr>
            <w:r>
              <w:t xml:space="preserve">185</w:t>
            </w:r>
          </w:p>
        </w:tc>
        <w:tc>
          <w:tcPr/>
          <w:p>
            <w:pPr>
              <w:pStyle w:val="Compact"/>
              <w:jc w:val="left"/>
            </w:pPr>
            <w:r>
              <w:t xml:space="preserve">+19%</w:t>
            </w:r>
          </w:p>
        </w:tc>
        <w:tc>
          <w:tcPr/>
          <w:p>
            <w:pPr>
              <w:pStyle w:val="Compact"/>
              <w:jc w:val="left"/>
            </w:pPr>
            <w:r>
              <w:t xml:space="preserve">2,450</w:t>
            </w:r>
          </w:p>
        </w:tc>
      </w:tr>
      <w:tr>
        <w:tc>
          <w:tcPr/>
          <w:p>
            <w:pPr>
              <w:pStyle w:val="Compact"/>
              <w:jc w:val="left"/>
            </w:pPr>
            <w:r>
              <w:t xml:space="preserve">Total Midwife Services (All Categories)</w:t>
            </w:r>
          </w:p>
        </w:tc>
        <w:tc>
          <w:tcPr/>
          <w:p>
            <w:pPr>
              <w:pStyle w:val="Compact"/>
              <w:jc w:val="left"/>
            </w:pPr>
            <w:r>
              <w:rPr>
                <w:bCs/>
                <w:b/>
              </w:rPr>
              <w:t xml:space="preserve">472</w:t>
            </w:r>
          </w:p>
        </w:tc>
        <w:tc>
          <w:tcPr/>
          <w:p>
            <w:pPr>
              <w:pStyle w:val="Compact"/>
              <w:jc w:val="left"/>
            </w:pPr>
            <w:r>
              <w:rPr>
                <w:bCs/>
                <w:b/>
              </w:rPr>
              <w:t xml:space="preserve">+17.3%</w:t>
            </w:r>
          </w:p>
        </w:tc>
        <w:tc>
          <w:tcPr/>
          <w:p>
            <w:pPr>
              <w:pStyle w:val="Compact"/>
              <w:jc w:val="left"/>
            </w:pPr>
            <w:r>
              <w:rPr>
                <w:bCs/>
                <w:b/>
              </w:rPr>
              <w:t xml:space="preserve">2,850</w:t>
            </w:r>
          </w:p>
        </w:tc>
      </w:tr>
      <w:tr>
        <w:tc>
          <w:tcPr/>
          <w:p>
            <w:pPr>
              <w:pStyle w:val="Compact"/>
              <w:jc w:val="left"/>
            </w:pPr>
            <w:r>
              <w:t xml:space="preserve">Postnatal Care Packages</w:t>
            </w:r>
          </w:p>
        </w:tc>
        <w:tc>
          <w:tcPr/>
          <w:p>
            <w:pPr>
              <w:pStyle w:val="Compact"/>
              <w:jc w:val="left"/>
            </w:pPr>
            <w:r>
              <w:t xml:space="preserve">142</w:t>
            </w:r>
          </w:p>
        </w:tc>
        <w:tc>
          <w:tcPr/>
          <w:p>
            <w:pPr>
              <w:pStyle w:val="Compact"/>
              <w:jc w:val="left"/>
            </w:pPr>
            <w:r>
              <w:t xml:space="preserve">+23%</w:t>
            </w:r>
          </w:p>
        </w:tc>
        <w:tc>
          <w:tcPr/>
          <w:p>
            <w:pPr>
              <w:pStyle w:val="Compact"/>
              <w:jc w:val="left"/>
            </w:pPr>
            <w:r>
              <w:t xml:space="preserve">3,100</w:t>
            </w:r>
          </w:p>
        </w:tc>
      </w:tr>
      <w:tr>
        <w:tc>
          <w:tcPr/>
          <w:p>
            <w:pPr>
              <w:pStyle w:val="Compact"/>
              <w:jc w:val="left"/>
            </w:pPr>
            <w:r>
              <w:t xml:space="preserve">Total Revenue (KES)</w:t>
            </w:r>
          </w:p>
        </w:tc>
        <w:tc>
          <w:tcPr>
            <w:gridSpan w:val="3"/>
          </w:tcPr>
          <w:p>
            <w:pPr>
              <w:pStyle w:val="Compact"/>
              <w:jc w:val="left"/>
            </w:pPr>
            <w:r>
              <w:rPr>
                <w:bCs/>
                <w:b/>
              </w:rPr>
              <w:t xml:space="preserve">1,346,200</w:t>
            </w:r>
          </w:p>
        </w:tc>
      </w:tr>
    </w:tbl>
    <w:p>
      <w:pPr>
        <w:pStyle w:val="BodyText"/>
      </w:pPr>
      <w:r>
        <w:t xml:space="preserve">The significant growth in prenatal consultations (185 clients) reflects increased community trust in our Nairobi-based Midwife services. Notably, 68% of new clients came through referrals from local community health workers – a testament to our strong partnerships within Kenya's grassroots healthcare network. The revenue per client average (KES 2,850) exceeds industry benchmarks for Nairobi by 14%, driven by premium postnatal packages that bundle home visits with nutrition counseling.</w:t>
      </w:r>
    </w:p>
    <w:bookmarkEnd w:id="22"/>
    <w:bookmarkStart w:id="23" w:name="geographic-sales-distribution-in-nairobi"/>
    <w:p>
      <w:pPr>
        <w:pStyle w:val="Heading2"/>
      </w:pPr>
      <w:r>
        <w:t xml:space="preserve">Geographic Sales Distribution in Nairobi</w:t>
      </w:r>
    </w:p>
    <w:p>
      <w:pPr>
        <w:pStyle w:val="FirstParagraph"/>
      </w:pPr>
      <w:r>
        <w:t xml:space="preserve">Our Midwife service footprint spans 7 key neighborhoods across Kenya Nairobi, each with distinct demand patterns:</w:t>
      </w:r>
    </w:p>
    <w:p>
      <w:pPr>
        <w:numPr>
          <w:ilvl w:val="0"/>
          <w:numId w:val="1001"/>
        </w:numPr>
        <w:pStyle w:val="Compact"/>
      </w:pPr>
      <w:r>
        <w:rPr>
          <w:bCs/>
          <w:b/>
        </w:rPr>
        <w:t xml:space="preserve">Kibera (Peri-urban):</w:t>
      </w:r>
      <w:r>
        <w:t xml:space="preserve"> </w:t>
      </w:r>
      <w:r>
        <w:t xml:space="preserve">32% of total clients. High demand for low-cost prenatal check-ups due to limited access to public facilities. Revenue per client averages KES 2,150 (lowest in our network) but maintains 94% referral rate.</w:t>
      </w:r>
    </w:p>
    <w:p>
      <w:pPr>
        <w:numPr>
          <w:ilvl w:val="0"/>
          <w:numId w:val="1001"/>
        </w:numPr>
        <w:pStyle w:val="Compact"/>
      </w:pPr>
      <w:r>
        <w:rPr>
          <w:bCs/>
          <w:b/>
        </w:rPr>
        <w:t xml:space="preserve">Eastleigh:</w:t>
      </w:r>
      <w:r>
        <w:t xml:space="preserve"> </w:t>
      </w:r>
      <w:r>
        <w:t xml:space="preserve">28% of clients. Premium service focus with high demand for antenatal education workshops (37% of revenue). Avg. client spend: KES 3,500.</w:t>
      </w:r>
    </w:p>
    <w:p>
      <w:pPr>
        <w:numPr>
          <w:ilvl w:val="0"/>
          <w:numId w:val="1001"/>
        </w:numPr>
        <w:pStyle w:val="Compact"/>
      </w:pPr>
      <w:r>
        <w:rPr>
          <w:bCs/>
          <w:b/>
        </w:rPr>
        <w:t xml:space="preserve">Muthaiga:</w:t>
      </w:r>
      <w:r>
        <w:t xml:space="preserve"> </w:t>
      </w:r>
      <w:r>
        <w:t xml:space="preserve">19% of clients. Highest revenue per client (KES 4,200) driven by corporate partnerships with Nairobi-based companies offering maternal wellness packages.</w:t>
      </w:r>
    </w:p>
    <w:p>
      <w:pPr>
        <w:numPr>
          <w:ilvl w:val="0"/>
          <w:numId w:val="1001"/>
        </w:numPr>
        <w:pStyle w:val="Compact"/>
      </w:pPr>
      <w:r>
        <w:rPr>
          <w:bCs/>
          <w:b/>
        </w:rPr>
        <w:t xml:space="preserve">Ruiru &amp; Kasarani (Outskirts):</w:t>
      </w:r>
      <w:r>
        <w:t xml:space="preserve"> </w:t>
      </w:r>
      <w:r>
        <w:t xml:space="preserve">18% of clients. Mobile Midwife units account for 63% of these engagements, reducing travel barriers for rural-adjacent communities.</w:t>
      </w:r>
    </w:p>
    <w:p>
      <w:pPr>
        <w:pStyle w:val="FirstParagraph"/>
      </w:pPr>
      <w:r>
        <w:rPr>
          <w:bCs/>
          <w:b/>
        </w:rPr>
        <w:t xml:space="preserve">Strategic Insight:</w:t>
      </w:r>
      <w:r>
        <w:t xml:space="preserve"> </w:t>
      </w:r>
      <w:r>
        <w:t xml:space="preserve">Our Nairobi operations demonstrate that community-centered service models yield higher retention in informal settlements, while premium pricing strategies succeed in middle-income neighborhoods. This geographic diversity is critical for sustainable growth across Kenya Nairobi's socioeconomic spectrum.</w:t>
      </w:r>
    </w:p>
    <w:bookmarkEnd w:id="23"/>
    <w:bookmarkStart w:id="24" w:name="Xc6a305d0c9f92b2f64f4942b652ab486df05a6f"/>
    <w:p>
      <w:pPr>
        <w:pStyle w:val="Heading2"/>
      </w:pPr>
      <w:r>
        <w:t xml:space="preserve">Key Challenges Impacting Sales Performance</w:t>
      </w:r>
    </w:p>
    <w:p>
      <w:pPr>
        <w:pStyle w:val="FirstParagraph"/>
      </w:pPr>
      <w:r>
        <w:t xml:space="preserve">Despite strong growth, our Midwife services face market-specific constraints in Kenya Nairobi:</w:t>
      </w:r>
    </w:p>
    <w:p>
      <w:pPr>
        <w:numPr>
          <w:ilvl w:val="0"/>
          <w:numId w:val="1002"/>
        </w:numPr>
        <w:pStyle w:val="Compact"/>
      </w:pPr>
      <w:r>
        <w:rPr>
          <w:bCs/>
          <w:b/>
        </w:rPr>
        <w:t xml:space="preserve">Transportation Barriers:</w:t>
      </w:r>
      <w:r>
        <w:t xml:space="preserve"> </w:t>
      </w:r>
      <w:r>
        <w:t xml:space="preserve">41% of Kibera clients cited travel costs as a primary service barrier. Only 29% use public transport, with many opting out of care due to expense.</w:t>
      </w:r>
    </w:p>
    <w:p>
      <w:pPr>
        <w:numPr>
          <w:ilvl w:val="0"/>
          <w:numId w:val="1002"/>
        </w:numPr>
        <w:pStyle w:val="Compact"/>
      </w:pPr>
      <w:r>
        <w:rPr>
          <w:bCs/>
          <w:b/>
        </w:rPr>
        <w:t xml:space="preserve">Insurance Gaps:</w:t>
      </w:r>
      <w:r>
        <w:t xml:space="preserve"> </w:t>
      </w:r>
      <w:r>
        <w:t xml:space="preserve">Less than 35% of Nairobi's informal sector workers have health insurance, limiting coverage for Midwife services despite government initiatives like NHIF.</w:t>
      </w:r>
    </w:p>
    <w:p>
      <w:pPr>
        <w:numPr>
          <w:ilvl w:val="0"/>
          <w:numId w:val="1002"/>
        </w:numPr>
        <w:pStyle w:val="Compact"/>
      </w:pPr>
      <w:r>
        <w:rPr>
          <w:bCs/>
          <w:b/>
        </w:rPr>
        <w:t xml:space="preserve">Competition from Unlicensed Providers:</w:t>
      </w:r>
      <w:r>
        <w:t xml:space="preserve"> </w:t>
      </w:r>
      <w:r>
        <w:t xml:space="preserve">Informal midwives operating without certification (particularly in Kibera) undercut prices by 30%, attracting price-sensitive clients despite safety risks.</w:t>
      </w:r>
    </w:p>
    <w:p>
      <w:pPr>
        <w:pStyle w:val="FirstParagraph"/>
      </w:pPr>
      <w:r>
        <w:t xml:space="preserve">These challenges directly impact sales conversion rates, with a 12% higher client acquisition cost in high-demand neighborhoods compared to Nairobi's more affluent areas.</w:t>
      </w:r>
    </w:p>
    <w:bookmarkEnd w:id="24"/>
    <w:bookmarkStart w:id="25" w:name="strategic-sales-initiatives-for-q4-2023"/>
    <w:p>
      <w:pPr>
        <w:pStyle w:val="Heading2"/>
      </w:pPr>
      <w:r>
        <w:t xml:space="preserve">Strategic Sales Initiatives for Q4 2023</w:t>
      </w:r>
    </w:p>
    <w:p>
      <w:pPr>
        <w:pStyle w:val="FirstParagraph"/>
      </w:pPr>
      <w:r>
        <w:t xml:space="preserve">To accelerate growth while addressing market barriers, we've implemented three targeted initiatives:</w:t>
      </w:r>
    </w:p>
    <w:p>
      <w:pPr>
        <w:numPr>
          <w:ilvl w:val="0"/>
          <w:numId w:val="1003"/>
        </w:numPr>
        <w:pStyle w:val="Compact"/>
      </w:pPr>
      <w:r>
        <w:rPr>
          <w:bCs/>
          <w:b/>
        </w:rPr>
        <w:t xml:space="preserve">Nairobi Community Partnership Program:</w:t>
      </w:r>
      <w:r>
        <w:t xml:space="preserve"> </w:t>
      </w:r>
      <w:r>
        <w:t xml:space="preserve">Collaborating with 15 local NGOs to offer subsidized Midwife services. This will cover 75% of costs for low-income families, projected to increase Kibera clients by 28% in Q4.</w:t>
      </w:r>
    </w:p>
    <w:p>
      <w:pPr>
        <w:numPr>
          <w:ilvl w:val="0"/>
          <w:numId w:val="1003"/>
        </w:numPr>
        <w:pStyle w:val="Compact"/>
      </w:pPr>
      <w:r>
        <w:rPr>
          <w:bCs/>
          <w:b/>
        </w:rPr>
        <w:t xml:space="preserve">Mobile Midwife Units Expansion:</w:t>
      </w:r>
      <w:r>
        <w:t xml:space="preserve"> </w:t>
      </w:r>
      <w:r>
        <w:t xml:space="preserve">Deploying two new electric-powered clinics servicing Ruiru and Kibera with free transportation vouchers. This directly addresses the top client pain point while creating a scalable model for Kenya Nairobi's informal settlements.</w:t>
      </w:r>
    </w:p>
    <w:p>
      <w:pPr>
        <w:numPr>
          <w:ilvl w:val="0"/>
          <w:numId w:val="1003"/>
        </w:numPr>
        <w:pStyle w:val="Compact"/>
      </w:pPr>
      <w:r>
        <w:rPr>
          <w:bCs/>
          <w:b/>
        </w:rPr>
        <w:t xml:space="preserve">NHIF Integration Strategy:</w:t>
      </w:r>
      <w:r>
        <w:t xml:space="preserve"> </w:t>
      </w:r>
      <w:r>
        <w:t xml:space="preserve">Working with National Hospital Insurance Fund to develop a certified Midwife service package. If approved, this would allow 300+ new monthly clients to access subsidized care through existing NHIF coverage.</w:t>
      </w:r>
    </w:p>
    <w:p>
      <w:pPr>
        <w:pStyle w:val="FirstParagraph"/>
      </w:pPr>
      <w:r>
        <w:t xml:space="preserve">These initiatives align with Kenya's National Health Policy 2019–2024, which prioritizes maternal healthcare accessibility in urban centers like Nairobi. We project a 25% revenue increase by Q4 through these targeted sales strategies.</w:t>
      </w:r>
    </w:p>
    <w:bookmarkEnd w:id="25"/>
    <w:bookmarkStart w:id="26" w:name="X5fd6b8dfb433b73357ddae77e19e7c4e36db0d8"/>
    <w:p>
      <w:pPr>
        <w:pStyle w:val="Heading2"/>
      </w:pPr>
      <w:r>
        <w:t xml:space="preserve">Future Outlook: Scaling Midwife Services Across Kenya Nairobi</w:t>
      </w:r>
    </w:p>
    <w:p>
      <w:pPr>
        <w:pStyle w:val="FirstParagraph"/>
      </w:pPr>
      <w:r>
        <w:t xml:space="preserve">Our Sales Report concludes with an ambitious growth roadmap for Nairobi:</w:t>
      </w:r>
    </w:p>
    <w:p>
      <w:pPr>
        <w:numPr>
          <w:ilvl w:val="0"/>
          <w:numId w:val="1004"/>
        </w:numPr>
        <w:pStyle w:val="Compact"/>
      </w:pPr>
      <w:r>
        <w:rPr>
          <w:bCs/>
          <w:b/>
        </w:rPr>
        <w:t xml:space="preserve">Year-End Target:</w:t>
      </w:r>
      <w:r>
        <w:t xml:space="preserve"> </w:t>
      </w:r>
      <w:r>
        <w:t xml:space="preserve">Reach 650 monthly Midwife service engagements across Nairobi (24% growth from current levels).</w:t>
      </w:r>
    </w:p>
    <w:p>
      <w:pPr>
        <w:numPr>
          <w:ilvl w:val="0"/>
          <w:numId w:val="1004"/>
        </w:numPr>
        <w:pStyle w:val="Compact"/>
      </w:pPr>
      <w:r>
        <w:rPr>
          <w:bCs/>
          <w:b/>
        </w:rPr>
        <w:t xml:space="preserve">Revenue Diversification:</w:t>
      </w:r>
      <w:r>
        <w:t xml:space="preserve"> </w:t>
      </w:r>
      <w:r>
        <w:t xml:space="preserve">Introduce telehealth prenatal consultations (targeting corporate partners in Nairobi's Central Business District) to capture premium market segments.</w:t>
      </w:r>
    </w:p>
    <w:p>
      <w:pPr>
        <w:numPr>
          <w:ilvl w:val="0"/>
          <w:numId w:val="1004"/>
        </w:numPr>
        <w:pStyle w:val="Compact"/>
      </w:pPr>
      <w:r>
        <w:rPr>
          <w:bCs/>
          <w:b/>
        </w:rPr>
        <w:t xml:space="preserve">Community Training Pipeline:</w:t>
      </w:r>
      <w:r>
        <w:t xml:space="preserve"> </w:t>
      </w:r>
      <w:r>
        <w:t xml:space="preserve">Launch a certified "Community Health Midwife" program in partnership with Kenyatta University, aiming to train 50 new providers by Q2 2024. This addresses Nairobi's critical shortage of licensed midwives (currently 1 per 5,000 women).</w:t>
      </w:r>
    </w:p>
    <w:p>
      <w:pPr>
        <w:pStyle w:val="FirstParagraph"/>
      </w:pPr>
      <w:r>
        <w:t xml:space="preserve">As Kenya's urban population grows at 3.9% annually, Nairobi represents the largest opportunity for maternal healthcare expansion in East Africa. Our Midwife service model – combining affordable pricing, community integration, and strategic partnerships – is positioned to become the benchmark for accessible maternal care across Kenya.</w:t>
      </w:r>
    </w:p>
    <w:bookmarkEnd w:id="26"/>
    <w:bookmarkStart w:id="27" w:name="conclusion"/>
    <w:p>
      <w:pPr>
        <w:pStyle w:val="Heading2"/>
      </w:pPr>
      <w:r>
        <w:t xml:space="preserve">Conclusion</w:t>
      </w:r>
    </w:p>
    <w:p>
      <w:pPr>
        <w:pStyle w:val="FirstParagraph"/>
      </w:pPr>
      <w:r>
        <w:t xml:space="preserve">This Sales Report confirms that our Midwife services in Kenya Nairobi are not just commercially viable but socially transformative. The 17% growth in Q3 demonstrates strong market validation of our community-centered approach. By addressing transportation barriers, expanding insurance coverage, and training local providers, we're creating a scalable model for maternal healthcare access that can replicate across Kenya's urban centers.</w:t>
      </w:r>
    </w:p>
    <w:p>
      <w:pPr>
        <w:pStyle w:val="BodyText"/>
      </w:pPr>
      <w:r>
        <w:t xml:space="preserve">As we move into Q4, our focus remains on turning sales momentum into sustainable impact – ensuring every woman in Nairobi has access to the skilled Midwife care she deserves. The path forward requires continued investment in Nairobi's most vulnerable communities while leveraging strategic partnerships to maximize reach. This Sales Report underscores that when healthcare is designed for the community, it becomes a catalyst for both business growth and societal progress across Kenya.</w:t>
      </w:r>
    </w:p>
    <w:p>
      <w:pPr>
        <w:pStyle w:val="BodyText"/>
      </w:pPr>
      <w:r>
        <w:rPr>
          <w:bCs/>
          <w:b/>
        </w:rPr>
        <w:t xml:space="preserve">Prepared by: Nairobi Maternal Health Initiative Data &amp; Strategy Team</w:t>
      </w:r>
      <w:r>
        <w:br/>
      </w:r>
      <w:r>
        <w:rPr>
          <w:iCs/>
          <w:i/>
        </w:rPr>
        <w:t xml:space="preserve">Report Date: October 15, 2023 • Confidential: For Internal Use Only</w:t>
      </w:r>
    </w:p>
    <w:bookmarkEnd w:id="27"/>
    <w:p>
      <w:pPr>
        <w:pStyle w:val="BodyText"/>
      </w:pPr>
      <w:r>
        <w:t xml:space="preserve">This Sales Report was generated using data from Nairobi's community health centers, NHIF records, and client satisfaction surveys conducted across all service locations in Kenya Nairobi during July-September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Kenya Nairobi Operations</dc:title>
  <dc:creator/>
  <dc:language>en</dc:language>
  <cp:keywords/>
  <dcterms:created xsi:type="dcterms:W3CDTF">2026-07-23T16:23:29Z</dcterms:created>
  <dcterms:modified xsi:type="dcterms:W3CDTF">2026-07-23T16:23:29Z</dcterms:modified>
</cp:coreProperties>
</file>

<file path=docProps/custom.xml><?xml version="1.0" encoding="utf-8"?>
<Properties xmlns="http://schemas.openxmlformats.org/officeDocument/2006/custom-properties" xmlns:vt="http://schemas.openxmlformats.org/officeDocument/2006/docPropsVTypes"/>
</file>