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Midwifery</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2ce700c18ee2b048efff960e82ddee90536df57"/>
    <w:p>
      <w:pPr>
        <w:pStyle w:val="Heading1"/>
      </w:pPr>
      <w:r>
        <w:t xml:space="preserve">Quarterly Sales Report: Midwifery Services in Malaysia Kuala Lumpur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&amp; Stakeholders</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midwifery service operations in Malaysia Kuala Lumpur during Q3 2023. As a premier provider of holistic maternal healthcare, we have achieved remarkable growth in both client acquisition and service retention rates across KL's diverse communities. The report underscores how strategic localization efforts have positioned us as the preferred</w:t>
      </w:r>
      <w:r>
        <w:t xml:space="preserve"> </w:t>
      </w:r>
      <w:r>
        <w:rPr>
          <w:bCs/>
          <w:b/>
        </w:rPr>
        <w:t xml:space="preserve">Midwife</w:t>
      </w:r>
      <w:r>
        <w:t xml:space="preserve"> </w:t>
      </w:r>
      <w:r>
        <w:t xml:space="preserve">partner for over 1,200 expecting mothers in Malaysia's capital city. With a 24% year-on-year increase in service bookings, this quarter marks a significant milestone in our commitment to elevating maternal care standards within</w:t>
      </w:r>
      <w:r>
        <w:t xml:space="preserve"> </w:t>
      </w:r>
      <w:r>
        <w:rPr>
          <w:bCs/>
          <w:b/>
        </w:rPr>
        <w:t xml:space="preserve">Malaysia Kuala Lumpur</w:t>
      </w:r>
      <w:r>
        <w:t xml:space="preserve">.</w:t>
      </w:r>
    </w:p>
    <w:bookmarkEnd w:id="20"/>
    <w:bookmarkStart w:id="21" w:name="X741d816cc25792d0d762b4f564144e0eac52c73"/>
    <w:p>
      <w:pPr>
        <w:pStyle w:val="Heading2"/>
      </w:pPr>
      <w:r>
        <w:t xml:space="preserve">II. Market Context: Kuala Lumpur's Maternal Healthcare Landscape</w:t>
      </w:r>
    </w:p>
    <w:p>
      <w:pPr>
        <w:pStyle w:val="FirstParagraph"/>
      </w:pPr>
      <w:r>
        <w:t xml:space="preserve">Kuala Lumpur faces unique challenges in maternal healthcare delivery, including urban population density, cultural diversity, and varying income levels. As the administrative and economic hub of Malaysia, KL requires specialized services that navigate the complexities of both public healthcare systems and private demand. This quarter's Sales Report confirms that our localized approach—offering culturally sensitive consultations in Malay, Mandarin, Tamil, and English—has resonated deeply with KL residents. The Malaysian Ministry of Health's recent push for community-based maternal care has created unprecedented opportunities for accredited</w:t>
      </w:r>
      <w:r>
        <w:t xml:space="preserve"> </w:t>
      </w:r>
      <w:r>
        <w:rPr>
          <w:bCs/>
          <w:b/>
        </w:rPr>
        <w:t xml:space="preserve">Midwife</w:t>
      </w:r>
      <w:r>
        <w:t xml:space="preserve"> </w:t>
      </w:r>
      <w:r>
        <w:t xml:space="preserve">services like ours to expand their reach across</w:t>
      </w:r>
      <w:r>
        <w:t xml:space="preserve"> </w:t>
      </w:r>
      <w:r>
        <w:rPr>
          <w:bCs/>
          <w:b/>
        </w:rPr>
        <w:t xml:space="preserve">Malaysia Kuala Lumpur</w:t>
      </w:r>
      <w:r>
        <w:t xml:space="preserve">.</w:t>
      </w:r>
    </w:p>
    <w:bookmarkEnd w:id="21"/>
    <w:bookmarkStart w:id="23" w:name="Xcc459587b4b2c27b4b319ce211d59c72631be67"/>
    <w:p>
      <w:pPr>
        <w:pStyle w:val="Heading2"/>
      </w:pPr>
      <w:r>
        <w:t xml:space="preserve">III. Sales Performance Highlights (Q3 2023)</w:t>
      </w:r>
    </w:p>
    <w:bookmarkStart w:id="22" w:name="a.-key-metrics"/>
    <w:p>
      <w:pPr>
        <w:pStyle w:val="Heading3"/>
      </w:pPr>
      <w:r>
        <w:t xml:space="preserve">A. Key Metrics</w:t>
      </w:r>
    </w:p>
    <w:p>
      <w:pPr>
        <w:pStyle w:val="FirstParagraph"/>
      </w:pPr>
      <w:r>
        <w:t xml:space="preserve">Performance Indicator</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Client Bookings</w:t>
      </w:r>
    </w:p>
    <w:p>
      <w:pPr>
        <w:pStyle w:val="BodyText"/>
      </w:pPr>
      <w:r>
        <w:t xml:space="preserve">417</w:t>
      </w:r>
    </w:p>
    <w:p>
      <w:pPr>
        <w:pStyle w:val="BodyText"/>
      </w:pPr>
      <w:r>
        <w:t xml:space="preserve">356</w:t>
      </w:r>
    </w:p>
    <w:p>
      <w:pPr>
        <w:pStyle w:val="BodyText"/>
      </w:pPr>
      <w:r>
        <w:t xml:space="preserve">+17.1%</w:t>
      </w:r>
    </w:p>
    <w:p>
      <w:pPr>
        <w:pStyle w:val="BodyText"/>
      </w:pPr>
      <w:r>
        <w:t xml:space="preserve">Repeat Clients (Retention Rate)</w:t>
      </w:r>
    </w:p>
    <w:p>
      <w:pPr>
        <w:pStyle w:val="BodyText"/>
      </w:pPr>
      <w:r>
        <w:t xml:space="preserve">68%</w:t>
      </w:r>
    </w:p>
    <w:bookmarkEnd w:id="22"/>
    <w:bookmarkEnd w:id="23"/>
    <w:bookmarkStart w:id="24" w:name="Xbe74c7970a5405bcd11dedbe584f8e1f44f5d1c"/>
    <w:p>
      <w:pPr>
        <w:pStyle w:val="Heading2"/>
      </w:pPr>
      <w:r>
        <w:t xml:space="preserve">V. Strategic Initiatives Driving Growth in Kuala Lumpur</w:t>
      </w:r>
    </w:p>
    <w:p>
      <w:pPr>
        <w:pStyle w:val="FirstParagraph"/>
      </w:pPr>
      <w:r>
        <w:t xml:space="preserve">Our success in Malaysia Kuala Lumpur stems from three targeted initiatives:</w:t>
      </w:r>
    </w:p>
    <w:p>
      <w:pPr>
        <w:numPr>
          <w:ilvl w:val="0"/>
          <w:numId w:val="1001"/>
        </w:numPr>
        <w:pStyle w:val="Compact"/>
      </w:pPr>
      <w:r>
        <w:rPr>
          <w:bCs/>
          <w:b/>
        </w:rPr>
        <w:t xml:space="preserve">Clinic Expansion in KL Suburbs:</w:t>
      </w:r>
      <w:r>
        <w:t xml:space="preserve"> </w:t>
      </w:r>
      <w:r>
        <w:t xml:space="preserve">Opening a new satellite clinic in Petaling Jaya (September 2023) increased our service radius by 40%, capturing demand from middle-income families previously underserved. This move directly supported our Sales Report goal of penetrating KL's expanding urban corridors.</w:t>
      </w:r>
    </w:p>
    <w:p>
      <w:pPr>
        <w:numPr>
          <w:ilvl w:val="0"/>
          <w:numId w:val="1001"/>
        </w:numPr>
        <w:pStyle w:val="Compact"/>
      </w:pPr>
      <w:r>
        <w:rPr>
          <w:bCs/>
          <w:b/>
        </w:rPr>
        <w:t xml:space="preserve">Cultural Competency Training:</w:t>
      </w:r>
      <w:r>
        <w:t xml:space="preserve"> </w:t>
      </w:r>
      <w:r>
        <w:t xml:space="preserve">All midwives underwent intensive training on Malay, Indian, and Chinese pregnancy traditions. Clients reported 89% satisfaction with culturally aligned care—a key differentiator in Malaysia Kuala Lumpur's multi-ethnic market.</w:t>
      </w:r>
    </w:p>
    <w:p>
      <w:pPr>
        <w:numPr>
          <w:ilvl w:val="0"/>
          <w:numId w:val="1001"/>
        </w:numPr>
        <w:pStyle w:val="Compact"/>
      </w:pPr>
      <w:r>
        <w:rPr>
          <w:bCs/>
          <w:b/>
        </w:rPr>
        <w:t xml:space="preserve">Digital Integration:</w:t>
      </w:r>
      <w:r>
        <w:t xml:space="preserve"> </w:t>
      </w:r>
      <w:r>
        <w:t xml:space="preserve">Launching our KL-specific mobile app (with Bahasa Malaysia interface) reduced booking friction by 35%. The app’s features—e.g., appointment reminders in local dialects, emergency contact protocols—were pivotal to the Sales Report's digital adoption metrics.</w:t>
      </w:r>
    </w:p>
    <w:bookmarkEnd w:id="24"/>
    <w:bookmarkStart w:id="25" w:name="vi.-challenges-adaptive-solutions"/>
    <w:p>
      <w:pPr>
        <w:pStyle w:val="Heading2"/>
      </w:pPr>
      <w:r>
        <w:t xml:space="preserve">VI. Challenges &amp; Adaptive Solutions</w:t>
      </w:r>
    </w:p>
    <w:p>
      <w:pPr>
        <w:pStyle w:val="FirstParagraph"/>
      </w:pPr>
      <w:r>
        <w:t xml:space="preserve">The Malaysia Kuala Lumpur market presented unique hurdles. In Q3, we encountered:</w:t>
      </w:r>
    </w:p>
    <w:p>
      <w:pPr>
        <w:numPr>
          <w:ilvl w:val="0"/>
          <w:numId w:val="1002"/>
        </w:numPr>
        <w:pStyle w:val="Compact"/>
      </w:pPr>
      <w:r>
        <w:rPr>
          <w:bCs/>
          <w:b/>
        </w:rPr>
        <w:t xml:space="preserve">Healthcare Policy Shifts:</w:t>
      </w:r>
      <w:r>
        <w:t xml:space="preserve"> </w:t>
      </w:r>
      <w:r>
        <w:t xml:space="preserve">New Ministry regulations requiring additional documentation for private midwifery services initially caused client drop-offs (15% in July). Our team swiftly implemented a dedicated KL compliance officer who streamlined paperwork, restoring 92% of affected clients by August.</w:t>
      </w:r>
    </w:p>
    <w:p>
      <w:pPr>
        <w:numPr>
          <w:ilvl w:val="0"/>
          <w:numId w:val="1002"/>
        </w:numPr>
        <w:pStyle w:val="Compact"/>
      </w:pPr>
      <w:r>
        <w:rPr>
          <w:bCs/>
          <w:b/>
        </w:rPr>
        <w:t xml:space="preserve">Competitive Pressure:</w:t>
      </w:r>
      <w:r>
        <w:t xml:space="preserve"> </w:t>
      </w:r>
      <w:r>
        <w:t xml:space="preserve">Traditional clinics undercutting prices prompted price-sensitive clients to switch. We countered with 'KL Care Packages'—custom bundles including prenatal yoga sessions and postpartum nutrition counseling at competitive rates without compromising care quality.</w:t>
      </w:r>
    </w:p>
    <w:bookmarkEnd w:id="25"/>
    <w:bookmarkStart w:id="26" w:name="X7c23f6d1f4551df20a75393eea7e99d9d6da58b"/>
    <w:p>
      <w:pPr>
        <w:pStyle w:val="Heading2"/>
      </w:pPr>
      <w:r>
        <w:t xml:space="preserve">VII. Future Growth Strategy for Malaysia Kuala Lumpur</w:t>
      </w:r>
    </w:p>
    <w:p>
      <w:pPr>
        <w:pStyle w:val="FirstParagraph"/>
      </w:pPr>
      <w:r>
        <w:t xml:space="preserve">Based on this Sales Report's insights, our 2024 expansion plan prioritizes KL-specific growth:</w:t>
      </w:r>
    </w:p>
    <w:p>
      <w:pPr>
        <w:numPr>
          <w:ilvl w:val="0"/>
          <w:numId w:val="1003"/>
        </w:numPr>
        <w:pStyle w:val="Compact"/>
      </w:pPr>
      <w:r>
        <w:rPr>
          <w:bCs/>
          <w:b/>
        </w:rPr>
        <w:t xml:space="preserve">Partnership Development:</w:t>
      </w:r>
      <w:r>
        <w:t xml:space="preserve"> </w:t>
      </w:r>
      <w:r>
        <w:t xml:space="preserve">Formalizing agreements with KL hospitals (e.g., KPJ Bukit Timah) for seamless referrals. This positions us as the preferred midwife network in Malaysia's urban healthcare ecosystem.</w:t>
      </w:r>
    </w:p>
    <w:p>
      <w:pPr>
        <w:numPr>
          <w:ilvl w:val="0"/>
          <w:numId w:val="1003"/>
        </w:numPr>
        <w:pStyle w:val="Compact"/>
      </w:pPr>
      <w:r>
        <w:rPr>
          <w:bCs/>
          <w:b/>
        </w:rPr>
        <w:t xml:space="preserve">School Outreach Programs:</w:t>
      </w:r>
      <w:r>
        <w:t xml:space="preserve"> </w:t>
      </w:r>
      <w:r>
        <w:t xml:space="preserve">Partnering with KL public schools to educate teens on maternal health, building long-term community trust and future client pipelines.</w:t>
      </w:r>
    </w:p>
    <w:p>
      <w:pPr>
        <w:numPr>
          <w:ilvl w:val="0"/>
          <w:numId w:val="1003"/>
        </w:numPr>
        <w:pStyle w:val="Compact"/>
      </w:pPr>
      <w:r>
        <w:rPr>
          <w:bCs/>
          <w:b/>
        </w:rPr>
        <w:t xml:space="preserve">Specialized Service Lines:</w:t>
      </w:r>
      <w:r>
        <w:t xml:space="preserve"> </w:t>
      </w:r>
      <w:r>
        <w:t xml:space="preserve">Launching 'KL Pregnancy Support' for high-risk cases (diabetes, hypertension) targeting 25% of our 2024 bookings—addressing a critical gap identified in the Sales Report.</w:t>
      </w:r>
    </w:p>
    <w:bookmarkEnd w:id="26"/>
    <w:bookmarkStart w:id="27" w:name="viii.-conclusion-the-path-forward"/>
    <w:p>
      <w:pPr>
        <w:pStyle w:val="Heading2"/>
      </w:pPr>
      <w:r>
        <w:t xml:space="preserve">VIII. Conclusion: The Path Forward</w:t>
      </w:r>
    </w:p>
    <w:p>
      <w:pPr>
        <w:pStyle w:val="FirstParagraph"/>
      </w:pPr>
      <w:r>
        <w:t xml:space="preserve">This Q3 Sales Report demonstrates that our focused approach to Malaysia Kuala Lumpur's unique maternal healthcare needs has yielded exceptional results. By embedding cultural intelligence, strategic clinic placement, and digital innovation into our service model, we've established the</w:t>
      </w:r>
      <w:r>
        <w:t xml:space="preserve"> </w:t>
      </w:r>
      <w:r>
        <w:rPr>
          <w:bCs/>
          <w:b/>
        </w:rPr>
        <w:t xml:space="preserve">Midwife</w:t>
      </w:r>
      <w:r>
        <w:t xml:space="preserve"> </w:t>
      </w:r>
      <w:r>
        <w:t xml:space="preserve">as a trusted institution across KL's neighborhoods—from Bangsar to Cheras. The 24% growth in service bookings isn't merely a number; it represents 300 more mothers receiving personalized care in our city.</w:t>
      </w:r>
    </w:p>
    <w:p>
      <w:pPr>
        <w:pStyle w:val="BodyText"/>
      </w:pPr>
      <w:r>
        <w:t xml:space="preserve">As we move into Q4, the Sales Report reaffirms that continuous adaptation to Kuala Lumpur’s evolving healthcare landscape will remain central to our mission. With Malaysia's Ministry of Health prioritizing community-based maternal services, our integrated model—where every midwife embodies the values of</w:t>
      </w:r>
      <w:r>
        <w:t xml:space="preserve"> </w:t>
      </w:r>
      <w:r>
        <w:rPr>
          <w:bCs/>
          <w:b/>
        </w:rPr>
        <w:t xml:space="preserve">Malaysia Kuala Lumpur</w:t>
      </w:r>
      <w:r>
        <w:t xml:space="preserve">—positions us not just for growth, but for enduring impact. The data is clear: when healthcare aligns with local culture and context, outcomes improve for mothers and communities alike.</w:t>
      </w:r>
    </w:p>
    <w:bookmarkEnd w:id="27"/>
    <w:bookmarkStart w:id="28" w:name="ix.-appendices-summary"/>
    <w:p>
      <w:pPr>
        <w:pStyle w:val="Heading2"/>
      </w:pPr>
      <w:r>
        <w:t xml:space="preserve">IX. Appendices (Summary)</w:t>
      </w:r>
    </w:p>
    <w:p>
      <w:pPr>
        <w:numPr>
          <w:ilvl w:val="0"/>
          <w:numId w:val="1004"/>
        </w:numPr>
        <w:pStyle w:val="Compact"/>
      </w:pPr>
      <w:r>
        <w:t xml:space="preserve">Appendix A: Monthly Client Demographics by KL District</w:t>
      </w:r>
    </w:p>
    <w:p>
      <w:pPr>
        <w:numPr>
          <w:ilvl w:val="0"/>
          <w:numId w:val="1004"/>
        </w:numPr>
        <w:pStyle w:val="Compact"/>
      </w:pPr>
      <w:r>
        <w:t xml:space="preserve">Appendix B: Cultural Competency Training Certificates</w:t>
      </w:r>
    </w:p>
    <w:p>
      <w:pPr>
        <w:numPr>
          <w:ilvl w:val="0"/>
          <w:numId w:val="1004"/>
        </w:numPr>
        <w:pStyle w:val="Compact"/>
      </w:pPr>
      <w:r>
        <w:t xml:space="preserve">Appendix C: Digital App Usage Analytics (KL-Specific)</w:t>
      </w:r>
    </w:p>
    <w:p>
      <w:pPr>
        <w:pStyle w:val="FirstParagraph"/>
      </w:pPr>
      <w:r>
        <w:rPr>
          <w:bCs/>
          <w:b/>
        </w:rPr>
        <w:t xml:space="preserve">Total Words in Report:</w:t>
      </w:r>
      <w:r>
        <w:t xml:space="preserve"> </w:t>
      </w:r>
      <w:r>
        <w:t xml:space="preserve">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Midwifery Services in Malaysia Kuala Lumpur</dc:title>
  <dc:creator/>
  <dc:language>en</dc:language>
  <cp:keywords/>
  <dcterms:created xsi:type="dcterms:W3CDTF">2026-07-23T20:15:01Z</dcterms:created>
  <dcterms:modified xsi:type="dcterms:W3CDTF">2026-07-23T20:15:01Z</dcterms:modified>
</cp:coreProperties>
</file>

<file path=docProps/custom.xml><?xml version="1.0" encoding="utf-8"?>
<Properties xmlns="http://schemas.openxmlformats.org/officeDocument/2006/custom-properties" xmlns:vt="http://schemas.openxmlformats.org/officeDocument/2006/docPropsVTypes"/>
</file>