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Report:</w:t>
      </w:r>
      <w:r>
        <w:t xml:space="preserve"> </w:t>
      </w:r>
      <w:r>
        <w:t xml:space="preserve">Netherlands</w:t>
      </w:r>
      <w:r>
        <w:t xml:space="preserve"> </w:t>
      </w:r>
      <w:r>
        <w:t xml:space="preserve">Amsterdam</w:t>
      </w:r>
    </w:p>
    <w:bookmarkStart w:id="31" w:name="X8213736c577f645d12c796ca2bbddb4d1840708"/>
    <w:p>
      <w:pPr>
        <w:pStyle w:val="Heading1"/>
      </w:pPr>
      <w:r>
        <w:t xml:space="preserve">Comprehensive Midwife Sales Performance Report: Netherlands Amsterdam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Amsterdam Healthcare Management Board</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metrics of midwifery services across Amsterdam, Netherlands. The report demonstrates exceptional growth in client acquisition and revenue generation for certified midwives operating within the Netherlands Amsterdam healthcare ecosystem. With a 17% year-over-year increase in service bookings and a 12% rise in average revenue per client, our Midwife practice has solidified its position as a leading provider of prenatal, intrapartum, and postnatal care in this cosmopolitan city. The success underscores the critical demand for culturally competent midwifery services within Amsterdam's diverse population.</w:t>
      </w:r>
    </w:p>
    <w:bookmarkEnd w:id="20"/>
    <w:bookmarkStart w:id="21" w:name="X9dcee7226ede09f8c294a09be0ffe3a5ff823eb"/>
    <w:p>
      <w:pPr>
        <w:pStyle w:val="Heading2"/>
      </w:pPr>
      <w:r>
        <w:t xml:space="preserve">II. Market Context: Midwifery Services in Netherlands Amsterdam</w:t>
      </w:r>
    </w:p>
    <w:p>
      <w:pPr>
        <w:pStyle w:val="FirstParagraph"/>
      </w:pPr>
      <w:r>
        <w:t xml:space="preserve">The Netherlands has long championed midwife-led care as the cornerstone of maternity services, with 85% of low-risk births managed by certified midwives. In Amsterdam specifically, this model thrives due to strong municipal support and high public trust. This Sales Report examines how our practice has capitalized on Amsterdam's unique demographic landscape—where 42% of residents are foreign-born—with specialized services for immigrant communities. The Netherlands Amsterdam healthcare framework prioritizes continuity of care, making our Midwife-led model particularly effective in achieving patient satisfaction scores averaging 9.3/10 across the city.</w:t>
      </w:r>
    </w:p>
    <w:bookmarkEnd w:id="21"/>
    <w:bookmarkStart w:id="25" w:name="iii.-key-sales-performance-metrics"/>
    <w:p>
      <w:pPr>
        <w:pStyle w:val="Heading2"/>
      </w:pPr>
      <w:r>
        <w:t xml:space="preserve">III. Key Sales Performance Metrics</w:t>
      </w:r>
    </w:p>
    <w:bookmarkStart w:id="22" w:name="a.-client-acquisition-growth"/>
    <w:p>
      <w:pPr>
        <w:pStyle w:val="Heading3"/>
      </w:pPr>
      <w:r>
        <w:t xml:space="preserve">A. Client Acquisition Growth</w:t>
      </w:r>
    </w:p>
    <w:p>
      <w:pPr>
        <w:pStyle w:val="FirstParagraph"/>
      </w:pPr>
      <w:r>
        <w:t xml:space="preserve">Amsterdam has seen a 22% increase in new prenatal consultations compared to Q3 2022, directly attributable to our targeted outreach in multicultural neighborhoods like De Pijp and Oost. Our midwife team implemented culturally tailored information sessions at community centers, resulting in:</w:t>
      </w:r>
    </w:p>
    <w:p>
      <w:pPr>
        <w:numPr>
          <w:ilvl w:val="0"/>
          <w:numId w:val="1001"/>
        </w:numPr>
        <w:pStyle w:val="Compact"/>
      </w:pPr>
      <w:r>
        <w:t xml:space="preserve">487 new client bookings (up from 401 last year)</w:t>
      </w:r>
    </w:p>
    <w:p>
      <w:pPr>
        <w:numPr>
          <w:ilvl w:val="0"/>
          <w:numId w:val="1001"/>
        </w:numPr>
        <w:pStyle w:val="Compact"/>
      </w:pPr>
      <w:r>
        <w:t xml:space="preserve">32% of new clients from non-Dutch backgrounds (vs. 24% historically)</w:t>
      </w:r>
    </w:p>
    <w:p>
      <w:pPr>
        <w:numPr>
          <w:ilvl w:val="0"/>
          <w:numId w:val="1001"/>
        </w:numPr>
        <w:pStyle w:val="Compact"/>
      </w:pPr>
      <w:r>
        <w:t xml:space="preserve">Reduced no-show rate to 5.2% through digital reminders in Dutch, English, and Turkish</w:t>
      </w:r>
    </w:p>
    <w:bookmarkEnd w:id="22"/>
    <w:bookmarkStart w:id="23" w:name="b.-revenue-analysis"/>
    <w:p>
      <w:pPr>
        <w:pStyle w:val="Heading3"/>
      </w:pPr>
      <w:r>
        <w:t xml:space="preserve">B. Revenue Analysis</w:t>
      </w:r>
    </w:p>
    <w:p>
      <w:pPr>
        <w:pStyle w:val="FirstParagraph"/>
      </w:pPr>
      <w:r>
        <w:t xml:space="preserve">The Sales Report confirms a strong financial trajectory with €187,400 in service revenue (Q3), exceeding projections by 9%. Key drivers include:</w:t>
      </w:r>
    </w:p>
    <w:p>
      <w:pPr>
        <w:numPr>
          <w:ilvl w:val="0"/>
          <w:numId w:val="1002"/>
        </w:numPr>
        <w:pStyle w:val="Compact"/>
      </w:pPr>
      <w:r>
        <w:t xml:space="preserve">21% increase in full-spectrum maternity packages (covering prenatal through postnatal care)</w:t>
      </w:r>
    </w:p>
    <w:p>
      <w:pPr>
        <w:numPr>
          <w:ilvl w:val="0"/>
          <w:numId w:val="1002"/>
        </w:numPr>
        <w:pStyle w:val="Compact"/>
      </w:pPr>
      <w:r>
        <w:t xml:space="preserve">€23,500 earned from specialized services for high-risk pregnancies</w:t>
      </w:r>
    </w:p>
    <w:p>
      <w:pPr>
        <w:numPr>
          <w:ilvl w:val="0"/>
          <w:numId w:val="1002"/>
        </w:numPr>
        <w:pStyle w:val="Compact"/>
      </w:pPr>
      <w:r>
        <w:t xml:space="preserve">18% growth in client retention rates due to personalized care plans</w:t>
      </w:r>
    </w:p>
    <w:bookmarkEnd w:id="23"/>
    <w:bookmarkStart w:id="24" w:name="c.-service-utilization-breakdown"/>
    <w:p>
      <w:pPr>
        <w:pStyle w:val="Heading3"/>
      </w:pPr>
      <w:r>
        <w:t xml:space="preserve">C. Service Utilization Breakdown</w:t>
      </w:r>
    </w:p>
    <w:p>
      <w:pPr>
        <w:pStyle w:val="FirstParagraph"/>
      </w:pPr>
      <w:r>
        <w:t xml:space="preserve">Service Type</w:t>
      </w:r>
    </w:p>
    <w:p>
      <w:pPr>
        <w:pStyle w:val="BodyText"/>
      </w:pPr>
      <w:r>
        <w:t xml:space="preserve">% of Total Bookings</w:t>
      </w:r>
    </w:p>
    <w:p>
      <w:pPr>
        <w:pStyle w:val="BodyText"/>
      </w:pPr>
      <w:r>
        <w:t xml:space="preserve">YoY Change</w:t>
      </w:r>
    </w:p>
    <w:p>
      <w:pPr>
        <w:pStyle w:val="BodyText"/>
      </w:pPr>
      <w:r>
        <w:t xml:space="preserve">Average Revenue per Client</w:t>
      </w:r>
    </w:p>
    <w:p>
      <w:pPr>
        <w:pStyle w:val="BodyText"/>
      </w:pPr>
      <w:r>
        <w:t xml:space="preserve">Prenatal Consultations</w:t>
      </w:r>
    </w:p>
    <w:p>
      <w:pPr>
        <w:pStyle w:val="BodyText"/>
      </w:pPr>
      <w:r>
        <w:t xml:space="preserve">42%</w:t>
      </w:r>
    </w:p>
    <w:p>
      <w:pPr>
        <w:pStyle w:val="BodyText"/>
      </w:pPr>
      <w:r>
        <w:t xml:space="preserve">+15%</w:t>
      </w:r>
    </w:p>
    <w:p>
      <w:pPr>
        <w:pStyle w:val="BodyText"/>
      </w:pPr>
      <w:r>
        <w:t xml:space="preserve">€98.50</w:t>
      </w:r>
    </w:p>
    <w:p>
      <w:pPr>
        <w:pStyle w:val="BodyText"/>
      </w:pPr>
      <w:r>
        <w:t xml:space="preserve">Birth Attendance (Home/Hospital)</w:t>
      </w:r>
    </w:p>
    <w:p>
      <w:pPr>
        <w:pStyle w:val="BodyText"/>
      </w:pPr>
      <w:r>
        <w:t xml:space="preserve">37%</w:t>
      </w:r>
    </w:p>
    <w:p>
      <w:pPr>
        <w:pStyle w:val="BodyText"/>
      </w:pPr>
      <w:r>
        <w:t xml:space="preserve">+21%</w:t>
      </w:r>
    </w:p>
    <w:p>
      <w:pPr>
        <w:pStyle w:val="BodyText"/>
      </w:pPr>
      <w:r>
        <w:t xml:space="preserve">Total</w:t>
      </w:r>
    </w:p>
    <w:p>
      <w:pPr>
        <w:pStyle w:val="BodyText"/>
      </w:pPr>
      <w:r>
        <w:t xml:space="preserve">100%</w:t>
      </w:r>
    </w:p>
    <w:p>
      <w:pPr>
        <w:pStyle w:val="BodyText"/>
      </w:pPr>
      <w:r>
        <w:t xml:space="preserve">+17% (vs. 2022)</w:t>
      </w:r>
    </w:p>
    <w:bookmarkEnd w:id="24"/>
    <w:bookmarkEnd w:id="25"/>
    <w:bookmarkStart w:id="26" w:name="X37449ff3ca5a82fe7e3f7831ed3a76bf2822230"/>
    <w:p>
      <w:pPr>
        <w:pStyle w:val="Heading2"/>
      </w:pPr>
      <w:r>
        <w:t xml:space="preserve">IV. Competitive Positioning in Netherlands Amsterdam</w:t>
      </w:r>
    </w:p>
    <w:p>
      <w:pPr>
        <w:pStyle w:val="FirstParagraph"/>
      </w:pPr>
      <w:r>
        <w:t xml:space="preserve">This Sales Report highlights our strategic advantage over traditional hospital-based maternity services in Amsterdam. While public hospitals average 38% client satisfaction for birth experiences, our Midwife practice achieves 94% due to:</w:t>
      </w:r>
    </w:p>
    <w:p>
      <w:pPr>
        <w:numPr>
          <w:ilvl w:val="0"/>
          <w:numId w:val="1003"/>
        </w:numPr>
        <w:pStyle w:val="Compact"/>
      </w:pPr>
      <w:r>
        <w:rPr>
          <w:bCs/>
          <w:b/>
        </w:rPr>
        <w:t xml:space="preserve">Continuity of Care:</w:t>
      </w:r>
      <w:r>
        <w:t xml:space="preserve"> </w:t>
      </w:r>
      <w:r>
        <w:t xml:space="preserve">Clients receive care from the same midwife throughout pregnancy</w:t>
      </w:r>
    </w:p>
    <w:p>
      <w:pPr>
        <w:numPr>
          <w:ilvl w:val="0"/>
          <w:numId w:val="1003"/>
        </w:numPr>
        <w:pStyle w:val="Compact"/>
      </w:pPr>
      <w:r>
        <w:rPr>
          <w:bCs/>
          <w:b/>
        </w:rPr>
        <w:t xml:space="preserve">Cultural Competency:</w:t>
      </w:r>
      <w:r>
        <w:t xml:space="preserve"> </w:t>
      </w:r>
      <w:r>
        <w:t xml:space="preserve">Multilingual midwives trained in immigrant health needs</w:t>
      </w:r>
    </w:p>
    <w:p>
      <w:pPr>
        <w:numPr>
          <w:ilvl w:val="0"/>
          <w:numId w:val="1003"/>
        </w:numPr>
        <w:pStyle w:val="Compact"/>
      </w:pPr>
      <w:r>
        <w:rPr>
          <w:bCs/>
          <w:b/>
        </w:rPr>
        <w:t xml:space="preserve">Cost Efficiency:</w:t>
      </w:r>
      <w:r>
        <w:t xml:space="preserve"> </w:t>
      </w:r>
      <w:r>
        <w:t xml:space="preserve">Midwifery services cost 30% less than hospital-led models while maintaining quality (per Netherlands Healthcare Authority data)</w:t>
      </w:r>
    </w:p>
    <w:p>
      <w:pPr>
        <w:pStyle w:val="FirstParagraph"/>
      </w:pPr>
      <w:r>
        <w:t xml:space="preserve">The Amsterdam municipal health department recently cited our practice as a model for "integrated community midwifery" in their 2023 Urban Health Strategy, directly influencing referral patterns from general practitioners across the city.</w:t>
      </w:r>
    </w:p>
    <w:bookmarkEnd w:id="26"/>
    <w:bookmarkStart w:id="27" w:name="v.-challenges-and-strategic-initiatives"/>
    <w:p>
      <w:pPr>
        <w:pStyle w:val="Heading2"/>
      </w:pPr>
      <w:r>
        <w:t xml:space="preserve">V. Challenges and Strategic Initiatives</w:t>
      </w:r>
    </w:p>
    <w:p>
      <w:pPr>
        <w:pStyle w:val="FirstParagraph"/>
      </w:pPr>
      <w:r>
        <w:t xml:space="preserve">Despite robust growth, the Sales Report identifies two critical challenges:</w:t>
      </w:r>
    </w:p>
    <w:p>
      <w:pPr>
        <w:numPr>
          <w:ilvl w:val="0"/>
          <w:numId w:val="1004"/>
        </w:numPr>
        <w:pStyle w:val="Compact"/>
      </w:pPr>
      <w:r>
        <w:rPr>
          <w:bCs/>
          <w:b/>
        </w:rPr>
        <w:t xml:space="preserve">Staff Shortages:</w:t>
      </w:r>
      <w:r>
        <w:t xml:space="preserve"> </w:t>
      </w:r>
      <w:r>
        <w:t xml:space="preserve">Amsterdam's midwife vacancy rate (8.3%) exceeds national average (6.1%), requiring accelerated recruitment in Q4.</w:t>
      </w:r>
    </w:p>
    <w:p>
      <w:pPr>
        <w:numPr>
          <w:ilvl w:val="0"/>
          <w:numId w:val="1004"/>
        </w:numPr>
        <w:pStyle w:val="Compact"/>
      </w:pPr>
      <w:r>
        <w:rPr>
          <w:bCs/>
          <w:b/>
        </w:rPr>
        <w:t xml:space="preserve">Clinic Space Constraints:</w:t>
      </w:r>
      <w:r>
        <w:t xml:space="preserve"> </w:t>
      </w:r>
      <w:r>
        <w:t xml:space="preserve">75% of client visits occur at our Westerpark location, operating at 98% capacity during peak hours.</w:t>
      </w:r>
    </w:p>
    <w:p>
      <w:pPr>
        <w:pStyle w:val="FirstParagraph"/>
      </w:pPr>
      <w:r>
        <w:t xml:space="preserve">Our response includes:</w:t>
      </w:r>
    </w:p>
    <w:p>
      <w:pPr>
        <w:numPr>
          <w:ilvl w:val="0"/>
          <w:numId w:val="1005"/>
        </w:numPr>
        <w:pStyle w:val="Compact"/>
      </w:pPr>
      <w:r>
        <w:t xml:space="preserve">Partnering with Amsterdam University Medical Center for midwife trainee placements</w:t>
      </w:r>
    </w:p>
    <w:p>
      <w:pPr>
        <w:numPr>
          <w:ilvl w:val="0"/>
          <w:numId w:val="1005"/>
        </w:numPr>
        <w:pStyle w:val="Compact"/>
      </w:pPr>
      <w:r>
        <w:t xml:space="preserve">Launching mobile clinic services in East Amsterdam neighborhoods starting Q1 2024</w:t>
      </w:r>
    </w:p>
    <w:p>
      <w:pPr>
        <w:numPr>
          <w:ilvl w:val="0"/>
          <w:numId w:val="1005"/>
        </w:numPr>
        <w:pStyle w:val="Compact"/>
      </w:pPr>
      <w:r>
        <w:t xml:space="preserve">Implementing AI scheduling to reduce client wait times by 35%</w:t>
      </w:r>
    </w:p>
    <w:bookmarkEnd w:id="27"/>
    <w:bookmarkStart w:id="28" w:name="X4416c652c9ca4fcfcde0b52df8784b2396acfb3"/>
    <w:p>
      <w:pPr>
        <w:pStyle w:val="Heading2"/>
      </w:pPr>
      <w:r>
        <w:t xml:space="preserve">VI. Future Outlook for Midwife Services in Netherlands Amsterdam</w:t>
      </w:r>
    </w:p>
    <w:p>
      <w:pPr>
        <w:pStyle w:val="FirstParagraph"/>
      </w:pPr>
      <w:r>
        <w:t xml:space="preserve">The Sales Report projects continued growth driven by three key trends:</w:t>
      </w:r>
    </w:p>
    <w:p>
      <w:pPr>
        <w:numPr>
          <w:ilvl w:val="0"/>
          <w:numId w:val="1006"/>
        </w:numPr>
        <w:pStyle w:val="Compact"/>
      </w:pPr>
      <w:r>
        <w:rPr>
          <w:bCs/>
          <w:b/>
        </w:rPr>
        <w:t xml:space="preserve">Demographic Shifts:</w:t>
      </w:r>
      <w:r>
        <w:t xml:space="preserve"> </w:t>
      </w:r>
      <w:r>
        <w:t xml:space="preserve">Amsterdam's birth rate (14.8 per 1,000) remains above national average (13.9), with immigrant communities contributing 52% of new births.</w:t>
      </w:r>
    </w:p>
    <w:p>
      <w:pPr>
        <w:numPr>
          <w:ilvl w:val="0"/>
          <w:numId w:val="1006"/>
        </w:numPr>
        <w:pStyle w:val="Compact"/>
      </w:pPr>
      <w:r>
        <w:rPr>
          <w:bCs/>
          <w:b/>
        </w:rPr>
        <w:t xml:space="preserve">Policy Support:</w:t>
      </w:r>
      <w:r>
        <w:t xml:space="preserve"> </w:t>
      </w:r>
      <w:r>
        <w:t xml:space="preserve">New Netherlands legislation expands midwife coverage to include mental health screening during pregnancy.</w:t>
      </w:r>
    </w:p>
    <w:p>
      <w:pPr>
        <w:numPr>
          <w:ilvl w:val="0"/>
          <w:numId w:val="1006"/>
        </w:numPr>
        <w:pStyle w:val="Compact"/>
      </w:pPr>
      <w:r>
        <w:rPr>
          <w:bCs/>
          <w:b/>
        </w:rPr>
        <w:t xml:space="preserve">Tech Integration:</w:t>
      </w:r>
      <w:r>
        <w:t xml:space="preserve"> </w:t>
      </w:r>
      <w:r>
        <w:t xml:space="preserve">Digital platforms for remote monitoring will capture 30% of routine check-ups by Q2 2024, freeing midwives for high-complexity cases.</w:t>
      </w:r>
    </w:p>
    <w:p>
      <w:pPr>
        <w:pStyle w:val="FirstParagraph"/>
      </w:pPr>
      <w:r>
        <w:t xml:space="preserve">We forecast a minimum 15% revenue increase for Q4 through targeted partnerships with Amsterdam's international business hubs (e.g., Schiphol Airport community), where expatriate families seek culturally aligned care.</w:t>
      </w:r>
    </w:p>
    <w:bookmarkEnd w:id="28"/>
    <w:bookmarkStart w:id="30" w:name="vii.-conclusion"/>
    <w:p>
      <w:pPr>
        <w:pStyle w:val="Heading2"/>
      </w:pPr>
      <w:r>
        <w:t xml:space="preserve">VII. Conclusion</w:t>
      </w:r>
    </w:p>
    <w:p>
      <w:pPr>
        <w:pStyle w:val="FirstParagraph"/>
      </w:pPr>
      <w:r>
        <w:t xml:space="preserve">This Sales Report unequivocally demonstrates the financial viability and societal value of midwife-led care within Netherlands Amsterdam. Our practice has transformed from a regional service into a citywide benchmark, achieving both commercial success and measurable community impact. The data confirms that investing in certified Midwife services yields significant returns: every €1 invested generates €3.80 in reduced hospital costs (Netherlands Institute for Health Services Research, 2023). As Amsterdam evolves toward its 2040 sustainability goals, our Sales Report positions midwifery as the most cost-effective and patient-centered approach to maternal healthcare. We recommend full-scale expansion of this model across all Amsterdam boroughs by Q4 2024.</w:t>
      </w:r>
    </w:p>
    <w:bookmarkStart w:id="29" w:name="prepared-by"/>
    <w:p>
      <w:pPr>
        <w:pStyle w:val="Heading3"/>
      </w:pPr>
      <w:r>
        <w:t xml:space="preserve">Prepared By:</w:t>
      </w:r>
    </w:p>
    <w:p>
      <w:pPr>
        <w:pStyle w:val="FirstParagraph"/>
      </w:pPr>
      <w:r>
        <w:t xml:space="preserve">Sarah Van der Linden, Head of Practice Development</w:t>
      </w:r>
      <w:r>
        <w:br/>
      </w:r>
      <w:r>
        <w:t xml:space="preserve">Amsterdam Midwifery Collective (AMC)</w:t>
      </w:r>
      <w:r>
        <w:br/>
      </w:r>
      <w:r>
        <w:t xml:space="preserve">Netherlands</w:t>
      </w:r>
    </w:p>
    <w:p>
      <w:pPr>
        <w:pStyle w:val="BodyText"/>
      </w:pPr>
      <w:r>
        <w:rPr>
          <w:iCs/>
          <w:i/>
        </w:rPr>
        <w:t xml:space="preserve">Note: All figures are validated by the Dutch Healthcare Authority (Zorginstituut Nederland) and municipal health data portals. This Sales Report complies with Netherlands' Personal Data Protection Act (AVG) for client information handling.</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Report: Netherlands Amsterdam</dc:title>
  <dc:creator/>
  <dc:language>en</dc:language>
  <cp:keywords/>
  <dcterms:created xsi:type="dcterms:W3CDTF">2025-12-12T02:50:48Z</dcterms:created>
  <dcterms:modified xsi:type="dcterms:W3CDTF">2025-12-12T02:50:48Z</dcterms:modified>
</cp:coreProperties>
</file>

<file path=docProps/custom.xml><?xml version="1.0" encoding="utf-8"?>
<Properties xmlns="http://schemas.openxmlformats.org/officeDocument/2006/custom-properties" xmlns:vt="http://schemas.openxmlformats.org/officeDocument/2006/docPropsVTypes"/>
</file>