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Midwifery</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95e58e4b7b757a16c5b517484baaafa4c2eeed1"/>
    <w:p>
      <w:pPr>
        <w:pStyle w:val="Heading1"/>
      </w:pPr>
      <w:r>
        <w:t xml:space="preserve">Sales Report for Midwifery Services in New Zealand Wellington</w:t>
      </w:r>
    </w:p>
    <w:bookmarkStart w:id="20" w:name="executive-summary"/>
    <w:p>
      <w:pPr>
        <w:pStyle w:val="Heading2"/>
      </w:pPr>
      <w:r>
        <w:t xml:space="preserve">Executive Summary</w:t>
      </w:r>
    </w:p>
    <w:p>
      <w:pPr>
        <w:pStyle w:val="FirstParagraph"/>
      </w:pPr>
      <w:r>
        <w:t xml:space="preserve">This comprehensive Sales Report details the performance of midwifery services across New Zealand Wellington during the fiscal period Q3 2023 to Q2 2024. As a leading provider of community-based maternal care in Wellington, our practice has achieved remarkable growth in client acquisition and service delivery, directly aligning with the increasing demand for personalized, culturally safe midwifery care throughout New Zealand Wellington. This report demonstrates how our</w:t>
      </w:r>
      <w:r>
        <w:t xml:space="preserve"> </w:t>
      </w:r>
      <w:r>
        <w:rPr>
          <w:bCs/>
          <w:b/>
        </w:rPr>
        <w:t xml:space="preserve">Midwife</w:t>
      </w:r>
      <w:r>
        <w:t xml:space="preserve">-led model has become integral to the region's healthcare ecosystem while exceeding key sales metrics by 22% year-on-year.</w:t>
      </w:r>
    </w:p>
    <w:bookmarkEnd w:id="20"/>
    <w:bookmarkStart w:id="21" w:name="Xb8575494b80b292d022cb51e6b204ebf12c6a6b"/>
    <w:p>
      <w:pPr>
        <w:pStyle w:val="Heading2"/>
      </w:pPr>
      <w:r>
        <w:t xml:space="preserve">Market Context: Midwifery Demand in New Zealand Wellington</w:t>
      </w:r>
    </w:p>
    <w:p>
      <w:pPr>
        <w:pStyle w:val="FirstParagraph"/>
      </w:pPr>
      <w:r>
        <w:t xml:space="preserve">Wellington, as New Zealand's capital city and home to over 450,000 residents, presents a dynamic healthcare landscape. Recent statistics from the Ministry of Health reveal that 73% of Wellington mothers now seek independent midwifery care for pregnancy and birth—up from 58% in 2021. This surge reflects both rising community awareness of the</w:t>
      </w:r>
      <w:r>
        <w:t xml:space="preserve"> </w:t>
      </w:r>
      <w:r>
        <w:rPr>
          <w:bCs/>
          <w:b/>
        </w:rPr>
        <w:t xml:space="preserve">Midwife</w:t>
      </w:r>
      <w:r>
        <w:t xml:space="preserve"> </w:t>
      </w:r>
      <w:r>
        <w:t xml:space="preserve">model's benefits and strategic healthcare policy shifts in New Zealand, including increased government funding for primary maternal services. Crucially, our</w:t>
      </w:r>
      <w:r>
        <w:t xml:space="preserve"> </w:t>
      </w:r>
      <w:r>
        <w:rPr>
          <w:bCs/>
          <w:b/>
        </w:rPr>
        <w:t xml:space="preserve">New Zealand Wellington</w:t>
      </w:r>
      <w:r>
        <w:t xml:space="preserve"> </w:t>
      </w:r>
      <w:r>
        <w:t xml:space="preserve">practice has positioned itself as a pioneer in this movement through culturally responsive care for Māori and Pasifika communities—an approach directly driving client acquisition.</w:t>
      </w:r>
    </w:p>
    <w:bookmarkEnd w:id="21"/>
    <w:bookmarkStart w:id="22" w:name="sales-performance-analysis"/>
    <w:p>
      <w:pPr>
        <w:pStyle w:val="Heading2"/>
      </w:pPr>
      <w:r>
        <w:t xml:space="preserve">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Q3-Q4 2023</w:t>
            </w:r>
          </w:p>
        </w:tc>
        <w:tc>
          <w:tcPr/>
          <w:p>
            <w:pPr>
              <w:pStyle w:val="Compact"/>
              <w:jc w:val="left"/>
            </w:pPr>
            <w:r>
              <w:t xml:space="preserve">Q1-Q2 2024</w:t>
            </w:r>
          </w:p>
        </w:tc>
        <w:tc>
          <w:tcPr/>
          <w:p>
            <w:pPr>
              <w:pStyle w:val="Compact"/>
              <w:jc w:val="left"/>
            </w:pPr>
            <w:r>
              <w:t xml:space="preserve">% Change</w:t>
            </w:r>
          </w:p>
        </w:tc>
      </w:tr>
      <w:tr>
        <w:tc>
          <w:tcPr/>
          <w:p>
            <w:pPr>
              <w:pStyle w:val="Compact"/>
              <w:jc w:val="left"/>
            </w:pPr>
            <w:r>
              <w:t xml:space="preserve">New Client Acquisitions</w:t>
            </w:r>
          </w:p>
        </w:tc>
        <w:tc>
          <w:tcPr/>
          <w:p>
            <w:pPr>
              <w:pStyle w:val="Compact"/>
              <w:jc w:val="left"/>
            </w:pPr>
            <w:r>
              <w:t xml:space="preserve">87</w:t>
            </w:r>
          </w:p>
        </w:tc>
        <w:tc>
          <w:tcPr/>
          <w:p>
            <w:pPr>
              <w:pStyle w:val="Compact"/>
              <w:jc w:val="left"/>
            </w:pPr>
            <w:r>
              <w:t xml:space="preserve">106</w:t>
            </w:r>
          </w:p>
        </w:tc>
        <w:tc>
          <w:tcPr/>
          <w:p>
            <w:pPr>
              <w:pStyle w:val="Compact"/>
              <w:jc w:val="left"/>
            </w:pPr>
            <w:r>
              <w:t xml:space="preserve">+22%</w:t>
            </w:r>
          </w:p>
        </w:tc>
      </w:tr>
      <w:tr>
        <w:tc>
          <w:tcPr/>
          <w:p>
            <w:pPr>
              <w:pStyle w:val="Compact"/>
              <w:jc w:val="left"/>
            </w:pPr>
            <w:r>
              <w:t xml:space="preserve">Retention Rate (Repeat Clients)</w:t>
            </w:r>
          </w:p>
        </w:tc>
        <w:tc>
          <w:tcPr/>
          <w:p>
            <w:pPr>
              <w:pStyle w:val="Compact"/>
              <w:jc w:val="left"/>
            </w:pPr>
            <w:r>
              <w:t xml:space="preserve">74%</w:t>
            </w:r>
          </w:p>
        </w:tc>
        <w:tc>
          <w:tcPr/>
          <w:p>
            <w:pPr>
              <w:pStyle w:val="Compact"/>
              <w:jc w:val="left"/>
            </w:pPr>
            <w:r>
              <w:t xml:space="preserve">83%</w:t>
            </w:r>
          </w:p>
        </w:tc>
        <w:tc>
          <w:tcPr/>
          <w:p>
            <w:pPr>
              <w:pStyle w:val="Compact"/>
              <w:jc w:val="left"/>
            </w:pPr>
            <w:r>
              <w:t xml:space="preserve">+9 pts</w:t>
            </w:r>
          </w:p>
        </w:tc>
      </w:tr>
      <w:tr>
        <w:tc>
          <w:tcPr/>
          <w:p>
            <w:pPr>
              <w:pStyle w:val="Compact"/>
              <w:jc w:val="left"/>
            </w:pPr>
            <w:r>
              <w:t xml:space="preserve">Average Consultation Duration</w:t>
            </w:r>
          </w:p>
        </w:tc>
        <w:tc>
          <w:tcPr/>
          <w:p>
            <w:pPr>
              <w:pStyle w:val="Compact"/>
              <w:jc w:val="left"/>
            </w:pPr>
            <w:r>
              <w:t xml:space="preserve">45 mins48 mins</w:t>
            </w:r>
          </w:p>
        </w:tc>
        <w:tc>
          <w:tcPr/>
          <w:p>
            <w:pPr>
              <w:pStyle w:val="Compact"/>
              <w:jc w:val="left"/>
            </w:pPr>
            <w:r>
              <w:t xml:space="preserve">+7%</w:t>
            </w:r>
          </w:p>
        </w:tc>
        <w:tc>
          <w:tcPr/>
          <w:p>
            <w:pPr>
              <w:pStyle w:val="Compact"/>
            </w:pPr>
          </w:p>
        </w:tc>
      </w:tr>
      <w:tr>
        <w:tc>
          <w:tcPr/>
          <w:p>
            <w:pPr>
              <w:pStyle w:val="Compact"/>
              <w:jc w:val="left"/>
            </w:pPr>
            <w:r>
              <w:t xml:space="preserve">Community Partnership Engagements</w:t>
            </w:r>
          </w:p>
        </w:tc>
        <w:tc>
          <w:tcPr/>
          <w:p>
            <w:pPr>
              <w:pStyle w:val="Compact"/>
              <w:jc w:val="left"/>
            </w:pPr>
            <w:r>
              <w:t xml:space="preserve">12</w:t>
            </w:r>
          </w:p>
        </w:tc>
        <w:tc>
          <w:tcPr/>
          <w:p>
            <w:pPr>
              <w:pStyle w:val="Compact"/>
              <w:jc w:val="left"/>
            </w:pPr>
            <w:r>
              <w:t xml:space="preserve">23</w:t>
            </w:r>
          </w:p>
        </w:tc>
        <w:tc>
          <w:tcPr/>
          <w:p>
            <w:pPr>
              <w:pStyle w:val="Compact"/>
              <w:jc w:val="left"/>
            </w:pPr>
            <w:r>
              <w:t xml:space="preserve">+92%</w:t>
            </w:r>
          </w:p>
        </w:tc>
      </w:tr>
    </w:tbl>
    <w:p>
      <w:pPr>
        <w:pStyle w:val="BodyText"/>
      </w:pPr>
      <w:r>
        <w:t xml:space="preserve">The 22% increase in new client acquisitions demonstrates strong market penetration within New Zealand Wellington. Notably, 68% of these clients were referred through our expanding network of community health centers—particularly those serving vulnerable populations in the Hutt Valley and Porirua regions. This growth isn't accidental; it stems from targeted marketing emphasizing our</w:t>
      </w:r>
      <w:r>
        <w:t xml:space="preserve"> </w:t>
      </w:r>
      <w:r>
        <w:rPr>
          <w:bCs/>
          <w:b/>
        </w:rPr>
        <w:t xml:space="preserve">Midwife</w:t>
      </w:r>
      <w:r>
        <w:t xml:space="preserve">-centred philosophy as the optimal choice for safe, evidence-based maternity care in New Zealand Wellington.</w:t>
      </w:r>
    </w:p>
    <w:bookmarkEnd w:id="22"/>
    <w:bookmarkStart w:id="23" w:name="customer-satisfaction-strategic-impact"/>
    <w:p>
      <w:pPr>
        <w:pStyle w:val="Heading2"/>
      </w:pPr>
      <w:r>
        <w:t xml:space="preserve">Customer Satisfaction &amp; Strategic Impact</w:t>
      </w:r>
    </w:p>
    <w:p>
      <w:pPr>
        <w:pStyle w:val="FirstParagraph"/>
      </w:pPr>
      <w:r>
        <w:t xml:space="preserve">Client feedback consistently highlights two factors driving our sales success: cultural safety and continuity of care. In our latest survey (n=98), 94% of mothers stated they chose our</w:t>
      </w:r>
      <w:r>
        <w:t xml:space="preserve"> </w:t>
      </w:r>
      <w:r>
        <w:rPr>
          <w:bCs/>
          <w:b/>
        </w:rPr>
        <w:t xml:space="preserve">New Zealand Wellington</w:t>
      </w:r>
      <w:r>
        <w:t xml:space="preserve"> </w:t>
      </w:r>
      <w:r>
        <w:t xml:space="preserve">practice specifically because of its commitment to Māori-led care pathways. One client's testimonial encapsulates this: "My midwife understood my whānau’s needs from day one—this is what makes her different." This cultural competency directly translates to sales, as 41% of new clients explicitly cited it in their onboarding forms.</w:t>
      </w:r>
    </w:p>
    <w:p>
      <w:pPr>
        <w:pStyle w:val="BodyText"/>
      </w:pPr>
      <w:r>
        <w:t xml:space="preserve">Furthermore, our retention rate (83%) significantly exceeds the national average (65%), proving that quality care creates loyal customers. This is critical for a</w:t>
      </w:r>
      <w:r>
        <w:t xml:space="preserve"> </w:t>
      </w:r>
      <w:r>
        <w:rPr>
          <w:bCs/>
          <w:b/>
        </w:rPr>
        <w:t xml:space="preserve">Midwife</w:t>
      </w:r>
      <w:r>
        <w:t xml:space="preserve"> </w:t>
      </w:r>
      <w:r>
        <w:t xml:space="preserve">practice where client journeys span 9+ months. When mothers feel supported through postpartum follow-ups and infant health checks, they not only return for subsequent pregnancies but also refer family members—fueling organic growth without heavy advertising spend.</w:t>
      </w:r>
    </w:p>
    <w:bookmarkEnd w:id="23"/>
    <w:bookmarkStart w:id="24" w:name="challenges-strategic-response"/>
    <w:p>
      <w:pPr>
        <w:pStyle w:val="Heading2"/>
      </w:pPr>
      <w:r>
        <w:t xml:space="preserve">Challenges &amp; Strategic Response</w:t>
      </w:r>
    </w:p>
    <w:p>
      <w:pPr>
        <w:pStyle w:val="FirstParagraph"/>
      </w:pPr>
      <w:r>
        <w:t xml:space="preserve">Despite strong sales performance, we identified two challenges impacting expansion:</w:t>
      </w:r>
    </w:p>
    <w:p>
      <w:pPr>
        <w:numPr>
          <w:ilvl w:val="0"/>
          <w:numId w:val="1001"/>
        </w:numPr>
        <w:pStyle w:val="Compact"/>
      </w:pPr>
      <w:r>
        <w:rPr>
          <w:bCs/>
          <w:b/>
        </w:rPr>
        <w:t xml:space="preserve">Staffing Constraints:</w:t>
      </w:r>
      <w:r>
        <w:t xml:space="preserve"> </w:t>
      </w:r>
      <w:r>
        <w:t xml:space="preserve">Rising demand outpaced midwife recruitment. We addressed this by partnering with Victoria University's Midwifery School for a tailored Wellington internship program, adding three new graduate midwives in Q2 2024.</w:t>
      </w:r>
    </w:p>
    <w:p>
      <w:pPr>
        <w:numPr>
          <w:ilvl w:val="0"/>
          <w:numId w:val="1001"/>
        </w:numPr>
        <w:pStyle w:val="Compact"/>
      </w:pPr>
      <w:r>
        <w:rPr>
          <w:bCs/>
          <w:b/>
        </w:rPr>
        <w:t xml:space="preserve">Rural Access Gaps:</w:t>
      </w:r>
      <w:r>
        <w:t xml:space="preserve"> </w:t>
      </w:r>
      <w:r>
        <w:t xml:space="preserve">Mothers from rural Wairarapa and Kapiti Coast faced travel barriers. Our solution was launching telehealth consultations—resulting in a 35% increase in client diversity across Wellington regions.</w:t>
      </w:r>
    </w:p>
    <w:bookmarkEnd w:id="24"/>
    <w:bookmarkStart w:id="25" w:name="future-outlook-recommendations"/>
    <w:p>
      <w:pPr>
        <w:pStyle w:val="Heading2"/>
      </w:pPr>
      <w:r>
        <w:t xml:space="preserve">Future Outlook &amp; Recommendations</w:t>
      </w:r>
    </w:p>
    <w:p>
      <w:pPr>
        <w:pStyle w:val="FirstParagraph"/>
      </w:pPr>
      <w:r>
        <w:t xml:space="preserve">Based on current sales momentum, we project 30% growth for New Zealand Wellington midwifery services by Q4 2025. To sustain this trajectory, we recommend:</w:t>
      </w:r>
    </w:p>
    <w:p>
      <w:pPr>
        <w:numPr>
          <w:ilvl w:val="0"/>
          <w:numId w:val="1002"/>
        </w:numPr>
        <w:pStyle w:val="Compact"/>
      </w:pPr>
      <w:r>
        <w:rPr>
          <w:bCs/>
          <w:b/>
        </w:rPr>
        <w:t xml:space="preserve">Expand Community Health Partnerships:</w:t>
      </w:r>
      <w:r>
        <w:t xml:space="preserve"> </w:t>
      </w:r>
      <w:r>
        <w:t xml:space="preserve">Targeting two additional Māori health providers in Wellington by end of FY2024 to access untapped client segments.</w:t>
      </w:r>
    </w:p>
    <w:p>
      <w:pPr>
        <w:numPr>
          <w:ilvl w:val="0"/>
          <w:numId w:val="1002"/>
        </w:numPr>
        <w:pStyle w:val="Compact"/>
      </w:pPr>
      <w:r>
        <w:rPr>
          <w:bCs/>
          <w:b/>
        </w:rPr>
        <w:t xml:space="preserve">Launch "Wellington Birth Journey" Package:</w:t>
      </w:r>
      <w:r>
        <w:t xml:space="preserve"> </w:t>
      </w:r>
      <w:r>
        <w:t xml:space="preserve">A bundled service including prenatal yoga, nutrition counseling, and birth preparation—projected to increase average revenue per client by 18%.</w:t>
      </w:r>
    </w:p>
    <w:p>
      <w:pPr>
        <w:numPr>
          <w:ilvl w:val="0"/>
          <w:numId w:val="1002"/>
        </w:numPr>
        <w:pStyle w:val="Compact"/>
      </w:pPr>
      <w:r>
        <w:rPr>
          <w:bCs/>
          <w:b/>
        </w:rPr>
        <w:t xml:space="preserve">Leverage Digital Marketing:</w:t>
      </w:r>
      <w:r>
        <w:t xml:space="preserve"> </w:t>
      </w:r>
      <w:r>
        <w:t xml:space="preserve">Developing targeted social media content (TikTok/Instagram) featuring real Wellington mothers' stories to reach Gen-Z parents—a market segment with 45% growth potential.</w:t>
      </w:r>
    </w:p>
    <w:bookmarkEnd w:id="25"/>
    <w:bookmarkStart w:id="26" w:name="conclusion"/>
    <w:p>
      <w:pPr>
        <w:pStyle w:val="Heading2"/>
      </w:pPr>
      <w:r>
        <w:t xml:space="preserve">Conclusion</w:t>
      </w:r>
    </w:p>
    <w:p>
      <w:pPr>
        <w:pStyle w:val="FirstParagraph"/>
      </w:pPr>
      <w:r>
        <w:t xml:space="preserve">This Sales Report confirms that our</w:t>
      </w:r>
      <w:r>
        <w:t xml:space="preserve"> </w:t>
      </w:r>
      <w:r>
        <w:rPr>
          <w:bCs/>
          <w:b/>
        </w:rPr>
        <w:t xml:space="preserve">Midwife</w:t>
      </w:r>
      <w:r>
        <w:t xml:space="preserve">-led model is not only meeting the growing demand for maternal care in New Zealand Wellington but actively shaping regional healthcare standards. The 22% sales growth, coupled with 94% client satisfaction on cultural safety, proves that investing in holistic, community-integrated midwifery services delivers both clinical excellence and commercial success. As we continue to innovate within the</w:t>
      </w:r>
      <w:r>
        <w:t xml:space="preserve"> </w:t>
      </w:r>
      <w:r>
        <w:rPr>
          <w:bCs/>
          <w:b/>
        </w:rPr>
        <w:t xml:space="preserve">New Zealand Wellington</w:t>
      </w:r>
      <w:r>
        <w:t xml:space="preserve"> </w:t>
      </w:r>
      <w:r>
        <w:t xml:space="preserve">landscape—prioritizing Māori health outcomes and equitable access—we are positioning ourselves as the definitive choice for modern maternity care across our city. Our commitment remains clear: every mother deserves a safe, respectful, and culturally resonant journey with her</w:t>
      </w:r>
      <w:r>
        <w:t xml:space="preserve"> </w:t>
      </w:r>
      <w:r>
        <w:rPr>
          <w:bCs/>
          <w:b/>
        </w:rPr>
        <w:t xml:space="preserve">Midwife</w:t>
      </w:r>
      <w:r>
        <w:t xml:space="preserve">.</w:t>
      </w:r>
    </w:p>
    <w:p>
      <w:pPr>
        <w:pStyle w:val="BodyText"/>
      </w:pPr>
      <w:r>
        <w:rPr>
          <w:bCs/>
          <w:b/>
        </w:rPr>
        <w:t xml:space="preserve">Prepared For:</w:t>
      </w:r>
      <w:r>
        <w:t xml:space="preserve"> </w:t>
      </w:r>
      <w:r>
        <w:t xml:space="preserve">Wellington Health Network Management</w:t>
      </w:r>
    </w:p>
    <w:p>
      <w:pPr>
        <w:pStyle w:val="BodyText"/>
      </w:pPr>
      <w:r>
        <w:rPr>
          <w:bCs/>
          <w:b/>
        </w:rPr>
        <w:t xml:space="preserve">Date:</w:t>
      </w:r>
      <w:r>
        <w:t xml:space="preserve"> </w:t>
      </w:r>
      <w:r>
        <w:t xml:space="preserve">May 15, 2024</w:t>
      </w:r>
    </w:p>
    <w:p>
      <w:pPr>
        <w:pStyle w:val="BodyText"/>
      </w:pPr>
      <w:r>
        <w:rPr>
          <w:iCs/>
          <w:i/>
        </w:rPr>
        <w:t xml:space="preserve">Sales Report for Midwifery Services in New Zealand Wellington | Confidential Internal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Midwifery Services in New Zealand Wellington</dc:title>
  <dc:creator/>
  <cp:keywords/>
  <dcterms:created xsi:type="dcterms:W3CDTF">2026-07-25T02:23:29Z</dcterms:created>
  <dcterms:modified xsi:type="dcterms:W3CDTF">2026-07-25T02:23:29Z</dcterms:modified>
</cp:coreProperties>
</file>

<file path=docProps/custom.xml><?xml version="1.0" encoding="utf-8"?>
<Properties xmlns="http://schemas.openxmlformats.org/officeDocument/2006/custom-properties" xmlns:vt="http://schemas.openxmlformats.org/officeDocument/2006/docPropsVTypes"/>
</file>