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Staffing</w:t>
      </w:r>
      <w:r>
        <w:t xml:space="preserve"> </w:t>
      </w:r>
      <w:r>
        <w:t xml:space="preserve">Solutions</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b9703816f7c7ef9fa81b98cc63660fbfc6364f3"/>
    <w:p>
      <w:pPr>
        <w:pStyle w:val="Heading1"/>
      </w:pPr>
      <w:r>
        <w:t xml:space="preserve">SALES REPORT: MIDWIFE STAFFING SOLUTIONS FOR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Prepared By:</w:t>
      </w:r>
      <w:r>
        <w:t xml:space="preserve"> </w:t>
      </w:r>
      <w:r>
        <w:t xml:space="preserve">Strategic Sales &amp; Market Intelligence Team</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midwife staffing solutions within Saudi Arabia's Jeddah metropolitan region. As Jeddah experiences rapid population growth and aligns with Vision 2030 healthcare expansion goals, demand for certified midwives has surged by 22% year-over-year. Our sales pipeline reflects a robust market position, with a 34% increase in new client contracts secured from hospitals and private clinics across Jeddah. This report underscores how our specialized</w:t>
      </w:r>
      <w:r>
        <w:t xml:space="preserve"> </w:t>
      </w:r>
      <w:r>
        <w:rPr>
          <w:iCs/>
          <w:i/>
        </w:rPr>
        <w:t xml:space="preserve">Midwife</w:t>
      </w:r>
      <w:r>
        <w:t xml:space="preserve"> </w:t>
      </w:r>
      <w:r>
        <w:t xml:space="preserve">recruitment services directly support Saudi Arabia's national health priorities while driving sustainable revenue growth in the Jeddah healthcare ecosystem.</w:t>
      </w:r>
    </w:p>
    <w:bookmarkEnd w:id="20"/>
    <w:bookmarkStart w:id="21" w:name="X7821e2fe2957574a13f4ad1f006dbf647c730a9"/>
    <w:p>
      <w:pPr>
        <w:pStyle w:val="Heading2"/>
      </w:pPr>
      <w:r>
        <w:t xml:space="preserve">Market Analysis: Demand for Midwives in Saudi Arabia Jeddah</w:t>
      </w:r>
    </w:p>
    <w:p>
      <w:pPr>
        <w:pStyle w:val="FirstParagraph"/>
      </w:pPr>
      <w:r>
        <w:t xml:space="preserve">Jeddah, as the second-largest city in Saudi Arabia and a major healthcare hub, faces unique demographic pressures. With an annual birth rate exceeding 150,000 births (per Ministry of Health data), the Kingdom's focus on maternal and child health under Vision 2030 has intensified demand for qualified</w:t>
      </w:r>
      <w:r>
        <w:t xml:space="preserve"> </w:t>
      </w:r>
      <w:r>
        <w:rPr>
          <w:iCs/>
          <w:i/>
        </w:rPr>
        <w:t xml:space="preserve">Midwife</w:t>
      </w:r>
      <w:r>
        <w:t xml:space="preserve"> </w:t>
      </w:r>
      <w:r>
        <w:t xml:space="preserve">professionals. Current hospital staffing ratios fall significantly short of Saudi standards, creating a critical gap our sales team actively addresses.</w:t>
      </w:r>
    </w:p>
    <w:p>
      <w:pPr>
        <w:pStyle w:val="BodyText"/>
      </w:pPr>
      <w:r>
        <w:t xml:space="preserve">The Jeddah market presents three key opportunities:</w:t>
      </w:r>
    </w:p>
    <w:p>
      <w:pPr>
        <w:numPr>
          <w:ilvl w:val="0"/>
          <w:numId w:val="1001"/>
        </w:numPr>
        <w:pStyle w:val="Compact"/>
      </w:pPr>
      <w:r>
        <w:rPr>
          <w:bCs/>
          <w:b/>
        </w:rPr>
        <w:t xml:space="preserve">Government Healthcare Expansion:</w:t>
      </w:r>
      <w:r>
        <w:t xml:space="preserve"> </w:t>
      </w:r>
      <w:r>
        <w:t xml:space="preserve">New facilities like King Abdullah Medical City and Jeddah's Maternal Health Centers require 120+ certified midwives annually.</w:t>
      </w:r>
    </w:p>
    <w:p>
      <w:pPr>
        <w:numPr>
          <w:ilvl w:val="0"/>
          <w:numId w:val="1001"/>
        </w:numPr>
        <w:pStyle w:val="Compact"/>
      </w:pPr>
      <w:r>
        <w:rPr>
          <w:bCs/>
          <w:b/>
        </w:rPr>
        <w:t xml:space="preserve">Private Sector Growth:</w:t>
      </w:r>
      <w:r>
        <w:t xml:space="preserve"> </w:t>
      </w:r>
      <w:r>
        <w:t xml:space="preserve">Premium women's clinics (e.g., Al Noor Hospital, Dawa Center) seek expatriate and Saudi-licensed midwives to meet international accreditation standards.</w:t>
      </w:r>
    </w:p>
    <w:p>
      <w:pPr>
        <w:numPr>
          <w:ilvl w:val="0"/>
          <w:numId w:val="1001"/>
        </w:numPr>
        <w:pStyle w:val="Compact"/>
      </w:pPr>
      <w:r>
        <w:rPr>
          <w:bCs/>
          <w:b/>
        </w:rPr>
        <w:t xml:space="preserve">Nationalization (Saudization):</w:t>
      </w:r>
      <w:r>
        <w:t xml:space="preserve"> </w:t>
      </w:r>
      <w:r>
        <w:t xml:space="preserve">Ministry of Health mandates 85% local workforce in public health facilities by 2025, accelerating demand for locally trained</w:t>
      </w:r>
      <w:r>
        <w:t xml:space="preserve"> </w:t>
      </w:r>
      <w:r>
        <w:rPr>
          <w:iCs/>
          <w:i/>
        </w:rPr>
        <w:t xml:space="preserve">Midwife</w:t>
      </w:r>
      <w:r>
        <w:t xml:space="preserve"> </w:t>
      </w:r>
      <w:r>
        <w:t xml:space="preserve">talent pools.</w:t>
      </w:r>
    </w:p>
    <w:bookmarkEnd w:id="21"/>
    <w:bookmarkStart w:id="22" w:name="X0ecd03a0d4bdfb7bbae63b5a8aaed2d04b5f1ad"/>
    <w:p>
      <w:pPr>
        <w:pStyle w:val="Heading2"/>
      </w:pPr>
      <w:r>
        <w:t xml:space="preserve">Sales Performance: Jeddah Regional Highlights</w:t>
      </w:r>
    </w:p>
    <w:p>
      <w:pPr>
        <w:pStyle w:val="FirstParagraph"/>
      </w:pPr>
      <w:r>
        <w:t xml:space="preserve">In the past quarter (Q3 2023), our Sales Report indicates exceptional traction in Jeddah:</w:t>
      </w:r>
    </w:p>
    <w:tbl>
      <w:tblPr>
        <w:tblStyle w:val="Table"/>
        <w:tblW w:type="auto" w:w="0"/>
        <w:tblLook w:firstRow="0" w:lastRow="0" w:firstColumn="0" w:lastColumn="0" w:noHBand="0" w:noVBand="0" w:val="0000"/>
      </w:tblPr>
      <w:tblGrid>
        <w:gridCol w:w="1980"/>
        <w:gridCol w:w="1980"/>
        <w:gridCol w:w="1980"/>
        <w:gridCol w:w="1980"/>
      </w:tblGrid>
      <w:t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rPr>
                <w:bCs/>
                <w:b/>
              </w:rPr>
              <w:t xml:space="preserve">% Change</w:t>
            </w:r>
          </w:p>
        </w:tc>
      </w:tr>
      <w:tr>
        <w:tc>
          <w:tcPr/>
          <w:p>
            <w:pPr>
              <w:pStyle w:val="Compact"/>
              <w:jc w:val="left"/>
            </w:pPr>
            <w:r>
              <w:t xml:space="preserve">New Client Contracts (Jeddah)</w:t>
            </w:r>
          </w:p>
        </w:tc>
        <w:tc>
          <w:tcPr/>
          <w:p>
            <w:pPr>
              <w:pStyle w:val="Compact"/>
              <w:jc w:val="left"/>
            </w:pPr>
            <w:r>
              <w:t xml:space="preserve">17</w:t>
            </w:r>
          </w:p>
        </w:tc>
        <w:tc>
          <w:tcPr/>
          <w:p>
            <w:pPr>
              <w:pStyle w:val="Compact"/>
              <w:jc w:val="left"/>
            </w:pPr>
            <w:r>
              <w:t xml:space="preserve">28</w:t>
            </w:r>
          </w:p>
        </w:tc>
        <w:tc>
          <w:tcPr/>
          <w:p>
            <w:pPr>
              <w:pStyle w:val="Compact"/>
              <w:jc w:val="left"/>
            </w:pPr>
            <w:r>
              <w:t xml:space="preserve">+64.7%</w:t>
            </w:r>
          </w:p>
        </w:tc>
      </w:tr>
      <w:tr>
        <w:tc>
          <w:tcPr/>
          <w:p>
            <w:pPr>
              <w:pStyle w:val="Compact"/>
              <w:jc w:val="left"/>
            </w:pPr>
            <w:r>
              <w:t xml:space="preserve">Midwife Placements (Jeddah)</w:t>
            </w:r>
          </w:p>
        </w:tc>
        <w:tc>
          <w:tcPr/>
          <w:p>
            <w:pPr>
              <w:pStyle w:val="Compact"/>
              <w:jc w:val="left"/>
            </w:pPr>
            <w:r>
              <w:t xml:space="preserve">42</w:t>
            </w:r>
          </w:p>
        </w:tc>
        <w:tc>
          <w:tcPr/>
          <w:p>
            <w:pPr>
              <w:pStyle w:val="Compact"/>
              <w:jc w:val="left"/>
            </w:pPr>
            <w:r>
              <w:t xml:space="preserve">69</w:t>
            </w:r>
          </w:p>
        </w:tc>
        <w:tc>
          <w:tcPr/>
          <w:p>
            <w:pPr>
              <w:pStyle w:val="Compact"/>
              <w:jc w:val="left"/>
            </w:pPr>
            <w:r>
              <w:t xml:space="preserve">+64.3%</w:t>
            </w:r>
          </w:p>
        </w:tc>
      </w:tr>
      <w:tr>
        <w:tc>
          <w:tcPr/>
          <w:p>
            <w:pPr>
              <w:pStyle w:val="Compact"/>
              <w:jc w:val="left"/>
            </w:pPr>
            <w:r>
              <w:t xml:space="preserve">Average Deal Value (SAR)</w:t>
            </w:r>
          </w:p>
        </w:tc>
        <w:tc>
          <w:tcPr/>
          <w:p>
            <w:pPr>
              <w:pStyle w:val="Compact"/>
              <w:jc w:val="left"/>
            </w:pPr>
            <w:r>
              <w:t xml:space="preserve">185,000</w:t>
            </w:r>
          </w:p>
        </w:tc>
        <w:tc>
          <w:tcPr/>
          <w:p>
            <w:pPr>
              <w:pStyle w:val="Compact"/>
              <w:jc w:val="left"/>
            </w:pPr>
            <w:r>
              <w:t xml:space="preserve">215,000</w:t>
            </w:r>
          </w:p>
        </w:tc>
        <w:tc>
          <w:tcPr/>
          <w:p>
            <w:pPr>
              <w:pStyle w:val="Compact"/>
              <w:jc w:val="left"/>
            </w:pPr>
            <w:r>
              <w:t xml:space="preserve">+16.2%</w:t>
            </w:r>
          </w:p>
        </w:tc>
      </w:tr>
    </w:tbl>
    <w:p>
      <w:pPr>
        <w:pStyle w:val="BodyText"/>
      </w:pPr>
      <w:r>
        <w:t xml:space="preserve">Notable wins include securing a strategic partnership with Jeddah's Central Health Authority (CHA) for 5-year midwife recruitment services and onboarding 8 new private clinics seeking Saudi-licensed professionals. The sales cycle shortened by 30% due to our localized talent database, which includes over 1,200 verified</w:t>
      </w:r>
      <w:r>
        <w:t xml:space="preserve"> </w:t>
      </w:r>
      <w:r>
        <w:rPr>
          <w:iCs/>
          <w:i/>
        </w:rPr>
        <w:t xml:space="preserve">Midwife</w:t>
      </w:r>
      <w:r>
        <w:t xml:space="preserve"> </w:t>
      </w:r>
      <w:r>
        <w:t xml:space="preserve">candidates from King Abdulaziz University and Jeddah Community College.</w:t>
      </w:r>
    </w:p>
    <w:bookmarkEnd w:id="22"/>
    <w:bookmarkStart w:id="23" w:name="X04075972a07085faa4acefecb319c2a20b6bd22"/>
    <w:p>
      <w:pPr>
        <w:pStyle w:val="Heading2"/>
      </w:pPr>
      <w:r>
        <w:t xml:space="preserve">Strategic Insights: Aligning with Saudi Arabia's Healthcare Vision</w:t>
      </w:r>
    </w:p>
    <w:p>
      <w:pPr>
        <w:pStyle w:val="FirstParagraph"/>
      </w:pPr>
      <w:r>
        <w:t xml:space="preserve">Saudi Arabia's National Transformation Program (NTP) prioritizes maternal health as a core indicator. Our Sales Report confirms that Jeddah-based healthcare providers increasingly view midwife recruitment as non-negotiable for compliance and service quality. Key insights from client consultations include:</w:t>
      </w:r>
    </w:p>
    <w:p>
      <w:pPr>
        <w:numPr>
          <w:ilvl w:val="0"/>
          <w:numId w:val="1002"/>
        </w:numPr>
        <w:pStyle w:val="Compact"/>
      </w:pPr>
      <w:r>
        <w:rPr>
          <w:bCs/>
          <w:b/>
        </w:rPr>
        <w:t xml:space="preserve">Quality Over Cost:</w:t>
      </w:r>
      <w:r>
        <w:t xml:space="preserve"> </w:t>
      </w:r>
      <w:r>
        <w:t xml:space="preserve">78% of Jeddah hospitals now prioritize Saudi-certified midwives over cost-sensitive options, driven by Ministry of Health accreditation requirements.</w:t>
      </w:r>
    </w:p>
    <w:p>
      <w:pPr>
        <w:numPr>
          <w:ilvl w:val="0"/>
          <w:numId w:val="1002"/>
        </w:numPr>
        <w:pStyle w:val="Compact"/>
      </w:pPr>
      <w:r>
        <w:rPr>
          <w:bCs/>
          <w:b/>
        </w:rPr>
        <w:t xml:space="preserve">Cultural Competency Demand:</w:t>
      </w:r>
      <w:r>
        <w:t xml:space="preserve"> </w:t>
      </w:r>
      <w:r>
        <w:t xml:space="preserve">92% of clients require midwives fluent in Arabic and familiar with Saudi cultural norms—our sales team emphasizes this capability as a differentiator.</w:t>
      </w:r>
    </w:p>
    <w:p>
      <w:pPr>
        <w:numPr>
          <w:ilvl w:val="0"/>
          <w:numId w:val="1002"/>
        </w:numPr>
        <w:pStyle w:val="Compact"/>
      </w:pPr>
      <w:r>
        <w:rPr>
          <w:bCs/>
          <w:b/>
        </w:rPr>
        <w:t xml:space="preserve">Training Integration:</w:t>
      </w:r>
      <w:r>
        <w:t xml:space="preserve"> </w:t>
      </w:r>
      <w:r>
        <w:t xml:space="preserve">Hospitals seek partners offering post-placement upskilling (e.g., advanced neonatal care), which we've bundled into 60% of new contracts in Jeddah.</w:t>
      </w:r>
    </w:p>
    <w:bookmarkEnd w:id="23"/>
    <w:bookmarkStart w:id="24" w:name="X5f04a9403d507ce46ff459c1b0207361b9bf3f0"/>
    <w:p>
      <w:pPr>
        <w:pStyle w:val="Heading2"/>
      </w:pPr>
      <w:r>
        <w:t xml:space="preserve">Competitive Positioning: Why Our Midwife Solutions Win in Jeddah</w:t>
      </w:r>
    </w:p>
    <w:p>
      <w:pPr>
        <w:pStyle w:val="FirstParagraph"/>
      </w:pPr>
      <w:r>
        <w:t xml:space="preserve">Unlike competitors focused solely on expatriate recruitment, our Jeddah-focused Sales Strategy leverages localized expertise. We maintain:</w:t>
      </w:r>
    </w:p>
    <w:p>
      <w:pPr>
        <w:numPr>
          <w:ilvl w:val="0"/>
          <w:numId w:val="1003"/>
        </w:numPr>
        <w:pStyle w:val="Compact"/>
      </w:pPr>
      <w:r>
        <w:t xml:space="preserve">A dedicated Saudi-licensed talent acquisition team based in Jeddah, reducing time-to-hire by 45%.</w:t>
      </w:r>
    </w:p>
    <w:p>
      <w:pPr>
        <w:numPr>
          <w:ilvl w:val="0"/>
          <w:numId w:val="1003"/>
        </w:numPr>
        <w:pStyle w:val="Compact"/>
      </w:pPr>
      <w:r>
        <w:t xml:space="preserve">Partnerships with all major Saudi midwifery schools for early-talent pipeline development.</w:t>
      </w:r>
    </w:p>
    <w:p>
      <w:pPr>
        <w:numPr>
          <w:ilvl w:val="0"/>
          <w:numId w:val="1003"/>
        </w:numPr>
        <w:pStyle w:val="Compact"/>
      </w:pPr>
      <w:r>
        <w:t xml:space="preserve">Compliance tracking for MOC (Medical Licensing) and NHA (National Health Authority) standards—critical for Jeddah's healthcare audits.</w:t>
      </w:r>
    </w:p>
    <w:p>
      <w:pPr>
        <w:pStyle w:val="FirstParagraph"/>
      </w:pPr>
      <w:r>
        <w:t xml:space="preserve">Client feedback from Jeddah confirms our competitive edge: "Their understanding of Saudi cultural context in midwifery care was unmatched," shared a senior HR manager at Al-Haram Hospital, one of our Q3 flagship clients.</w:t>
      </w:r>
    </w:p>
    <w:bookmarkEnd w:id="24"/>
    <w:bookmarkStart w:id="25" w:name="forward-looking-recommendations"/>
    <w:p>
      <w:pPr>
        <w:pStyle w:val="Heading2"/>
      </w:pPr>
      <w:r>
        <w:t xml:space="preserve">Forward-Looking Recommendations</w:t>
      </w:r>
    </w:p>
    <w:p>
      <w:pPr>
        <w:pStyle w:val="FirstParagraph"/>
      </w:pPr>
      <w:r>
        <w:t xml:space="preserve">Based on current market momentum, we recommend three strategic actions for sustained growth in the Saudi Arabia Jeddah midwife market:</w:t>
      </w:r>
    </w:p>
    <w:p>
      <w:pPr>
        <w:numPr>
          <w:ilvl w:val="0"/>
          <w:numId w:val="1004"/>
        </w:numPr>
        <w:pStyle w:val="Compact"/>
      </w:pPr>
      <w:r>
        <w:rPr>
          <w:bCs/>
          <w:b/>
        </w:rPr>
        <w:t xml:space="preserve">Invest in Saudization Training Hubs:</w:t>
      </w:r>
      <w:r>
        <w:t xml:space="preserve"> </w:t>
      </w:r>
      <w:r>
        <w:t xml:space="preserve">Partner with Jeddah Technical Institute to launch a certified "Saudi Midwife Accelerator Program," directly addressing nationalization goals. Estimated ROI: 300% by 2025.</w:t>
      </w:r>
    </w:p>
    <w:p>
      <w:pPr>
        <w:numPr>
          <w:ilvl w:val="0"/>
          <w:numId w:val="1004"/>
        </w:numPr>
        <w:pStyle w:val="Compact"/>
      </w:pPr>
      <w:r>
        <w:rPr>
          <w:bCs/>
          <w:b/>
        </w:rPr>
        <w:t xml:space="preserve">Leverage Digital Sales Channels:</w:t>
      </w:r>
      <w:r>
        <w:t xml:space="preserve"> </w:t>
      </w:r>
      <w:r>
        <w:t xml:space="preserve">Develop a Jeddah-specific mobile app for midwives to self-verify credentials and receive job alerts—reducing recruitment costs by 18%.</w:t>
      </w:r>
    </w:p>
    <w:p>
      <w:pPr>
        <w:numPr>
          <w:ilvl w:val="0"/>
          <w:numId w:val="1004"/>
        </w:numPr>
        <w:pStyle w:val="Compact"/>
      </w:pPr>
      <w:r>
        <w:rPr>
          <w:bCs/>
          <w:b/>
        </w:rPr>
        <w:t xml:space="preserve">Expand into Rural Jeddah Outposts:</w:t>
      </w:r>
      <w:r>
        <w:t xml:space="preserve"> </w:t>
      </w:r>
      <w:r>
        <w:t xml:space="preserve">Target underserved communities (e.g., Al-Madinah Road clinics) where staffing gaps exceed 40%, representing a $5.3M new revenue stream.</w:t>
      </w:r>
    </w:p>
    <w:bookmarkEnd w:id="25"/>
    <w:bookmarkStart w:id="26" w:name="conclusion"/>
    <w:p>
      <w:pPr>
        <w:pStyle w:val="Heading2"/>
      </w:pPr>
      <w:r>
        <w:t xml:space="preserve">Conclusion</w:t>
      </w:r>
    </w:p>
    <w:p>
      <w:pPr>
        <w:pStyle w:val="FirstParagraph"/>
      </w:pPr>
      <w:r>
        <w:t xml:space="preserve">The Sales Report confirms that midwife staffing is not merely a transactional service but a strategic catalyst for Saudi Arabia's healthcare transformation in Jeddah. Our current pipeline reflects strong market validation: 87% of Q4 sales targets are already secured, with Jeddah contributing 39% of national revenue. By embedding our</w:t>
      </w:r>
      <w:r>
        <w:t xml:space="preserve"> </w:t>
      </w:r>
      <w:r>
        <w:rPr>
          <w:iCs/>
          <w:i/>
        </w:rPr>
        <w:t xml:space="preserve">Midwife</w:t>
      </w:r>
      <w:r>
        <w:t xml:space="preserve"> </w:t>
      </w:r>
      <w:r>
        <w:t xml:space="preserve">recruitment solutions within Vision 2030 health objectives—focusing on quality, cultural alignment, and Saudization—we position ourselves as the indispensable partner for healthcare growth across Saudi Arabia Jeddah. The data is clear: where maternal health is prioritized, midwives are central to success.</w:t>
      </w:r>
    </w:p>
    <w:p>
      <w:pPr>
        <w:pStyle w:val="BodyText"/>
      </w:pPr>
      <w:r>
        <w:rPr>
          <w:bCs/>
          <w:b/>
        </w:rPr>
        <w:t xml:space="preserve">Next Steps:</w:t>
      </w:r>
      <w:r>
        <w:t xml:space="preserve"> </w:t>
      </w:r>
      <w:r>
        <w:t xml:space="preserve">Secure CHA contract renewal by November 15; launch Jeddah Saudization Training Pilot in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Staffing Solutions for Saudi Arabia Jeddah</dc:title>
  <dc:creator/>
  <cp:keywords/>
  <dcterms:created xsi:type="dcterms:W3CDTF">2025-12-11T16:19:18Z</dcterms:created>
  <dcterms:modified xsi:type="dcterms:W3CDTF">2025-12-11T16:19:18Z</dcterms:modified>
</cp:coreProperties>
</file>

<file path=docProps/custom.xml><?xml version="1.0" encoding="utf-8"?>
<Properties xmlns="http://schemas.openxmlformats.org/officeDocument/2006/custom-properties" xmlns:vt="http://schemas.openxmlformats.org/officeDocument/2006/docPropsVTypes"/>
</file>