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39d03859f8c3f572d33b85ade20c943f4d84b3f"/>
    <w:p>
      <w:pPr>
        <w:pStyle w:val="Heading1"/>
      </w:pPr>
      <w:r>
        <w:t xml:space="preserve">Sales Report: Midwifery Services Performance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New York City Midwifery Alliance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financial and operational performance of midwifery services across United States New York City during the third quarter of 2023. The report confirms significant growth in client acquisition and revenue generation for certified nurse-midwives (CNMs) operating within NYC's competitive healthcare ecosystem. Total revenue for the period reached $487,500, representing a 17% increase over Q2 and a 31% year-over-year surge. This momentum underscores the rising demand for holistic, patient-centered midwifery care in our urban landscape. The data confirms that certified midwives are increasingly becoming preferred providers for low-risk pregnancies within United States New York City, driven by community trust and evidence-based outcomes.</w:t>
      </w:r>
    </w:p>
    <w:bookmarkEnd w:id="20"/>
    <w:bookmarkStart w:id="23" w:name="ii.-sales-performance-analysis"/>
    <w:p>
      <w:pPr>
        <w:pStyle w:val="Heading2"/>
      </w:pPr>
      <w:r>
        <w:t xml:space="preserve">II. Sales Performance Analysis</w:t>
      </w:r>
    </w:p>
    <w:bookmarkStart w:id="21" w:name="a.-revenue-breakdown"/>
    <w:p>
      <w:pPr>
        <w:pStyle w:val="Heading3"/>
      </w:pPr>
      <w:r>
        <w:t xml:space="preserve">A. Revenue Breakdown</w:t>
      </w:r>
    </w:p>
    <w:p>
      <w:pPr>
        <w:pStyle w:val="FirstParagraph"/>
      </w:pPr>
      <w:r>
        <w:t xml:space="preserve">Service Category</w:t>
      </w:r>
    </w:p>
    <w:p>
      <w:pPr>
        <w:pStyle w:val="BodyText"/>
      </w:pPr>
      <w:r>
        <w:t xml:space="preserve">Q3 2023 Revenue ($)</w:t>
      </w:r>
    </w:p>
    <w:p>
      <w:pPr>
        <w:pStyle w:val="BodyText"/>
      </w:pPr>
      <w:r>
        <w:t xml:space="preserve">% of Total Revenue</w:t>
      </w:r>
    </w:p>
    <w:p>
      <w:pPr>
        <w:pStyle w:val="BodyText"/>
      </w:pPr>
      <w:r>
        <w:t xml:space="preserve">MoM Change</w:t>
      </w:r>
    </w:p>
    <w:p>
      <w:pPr>
        <w:pStyle w:val="BodyText"/>
      </w:pPr>
      <w:r>
        <w:t xml:space="preserve">Prenatal Care (12 visits)</w:t>
      </w:r>
    </w:p>
    <w:p>
      <w:pPr>
        <w:pStyle w:val="BodyText"/>
      </w:pPr>
      <w:r>
        <w:t xml:space="preserve">195,000</w:t>
      </w:r>
    </w:p>
    <w:p>
      <w:pPr>
        <w:pStyle w:val="BodyText"/>
      </w:pPr>
      <w:r>
        <w:t xml:space="preserve">40%</w:t>
      </w:r>
    </w:p>
    <w:p>
      <w:pPr>
        <w:pStyle w:val="BodyText"/>
      </w:pPr>
      <w:r>
        <w:t xml:space="preserve">+14%</w:t>
      </w:r>
    </w:p>
    <w:p>
      <w:pPr>
        <w:pStyle w:val="BodyText"/>
      </w:pPr>
      <w:r>
        <w:t xml:space="preserve">Birth Attendance</w:t>
      </w:r>
    </w:p>
    <w:p>
      <w:pPr>
        <w:pStyle w:val="BodyText"/>
      </w:pPr>
      <w:r>
        <w:t xml:space="preserve">238,500</w:t>
      </w:r>
    </w:p>
    <w:p>
      <w:pPr>
        <w:pStyle w:val="BodyText"/>
      </w:pPr>
      <w:r>
        <w:t xml:space="preserve">% of Total Revenue:</w:t>
      </w:r>
    </w:p>
    <w:p>
      <w:pPr>
        <w:pStyle w:val="BodyText"/>
      </w:pPr>
      <w:r>
        <w:t xml:space="preserve">MoM Change:</w:t>
      </w:r>
    </w:p>
    <w:p>
      <w:pPr>
        <w:pStyle w:val="BodyText"/>
      </w:pPr>
      <w:r>
        <w:t xml:space="preserve">The Birth Attendance category remains the highest revenue generator, reflecting NYC's status as a national leader in home birth and birth center utilization. This segment grew 22% MoM due to strategic partnerships with 18 new affiliated hospitals and clinics across Brooklyn, Queens, and Manhattan. Prenatal Care showed robust growth (14% MoM) driven by targeted outreach to immigrant communities in the Bronx and Harlem through culturally competent marketing campaigns.</w:t>
      </w:r>
    </w:p>
    <w:bookmarkEnd w:id="21"/>
    <w:bookmarkStart w:id="22" w:name="b.-client-acquisition-metrics"/>
    <w:p>
      <w:pPr>
        <w:pStyle w:val="Heading3"/>
      </w:pPr>
      <w:r>
        <w:t xml:space="preserve">B. Client Acquisition Metrics</w:t>
      </w:r>
    </w:p>
    <w:p>
      <w:pPr>
        <w:numPr>
          <w:ilvl w:val="0"/>
          <w:numId w:val="1001"/>
        </w:numPr>
        <w:pStyle w:val="Compact"/>
      </w:pPr>
      <w:r>
        <w:rPr>
          <w:bCs/>
          <w:b/>
        </w:rPr>
        <w:t xml:space="preserve">New Clients:</w:t>
      </w:r>
      <w:r>
        <w:t xml:space="preserve"> </w:t>
      </w:r>
      <w:r>
        <w:t xml:space="preserve">87 new midwifery clients acquired in Q3, a 29% increase from Q2</w:t>
      </w:r>
    </w:p>
    <w:p>
      <w:pPr>
        <w:numPr>
          <w:ilvl w:val="0"/>
          <w:numId w:val="1001"/>
        </w:numPr>
        <w:pStyle w:val="Compact"/>
      </w:pPr>
      <w:r>
        <w:rPr>
          <w:bCs/>
          <w:b/>
        </w:rPr>
        <w:t xml:space="preserve">Client Retention Rate:</w:t>
      </w:r>
      <w:r>
        <w:t xml:space="preserve"> </w:t>
      </w:r>
      <w:r>
        <w:t xml:space="preserve">89% (industry average: 76%), demonstrating exceptional patient loyalty</w:t>
      </w:r>
    </w:p>
    <w:p>
      <w:pPr>
        <w:numPr>
          <w:ilvl w:val="0"/>
          <w:numId w:val="1001"/>
        </w:numPr>
        <w:pStyle w:val="Compact"/>
      </w:pPr>
      <w:r>
        <w:rPr>
          <w:bCs/>
          <w:b/>
        </w:rPr>
        <w:t xml:space="preserve">Diverse Patient Base:</w:t>
      </w:r>
      <w:r>
        <w:t xml:space="preserve"> </w:t>
      </w:r>
      <w:r>
        <w:t xml:space="preserve">58% of new clients identified as Black or Hispanic, aligning with NYC Health Department's equity goals for maternal care</w:t>
      </w:r>
    </w:p>
    <w:bookmarkEnd w:id="22"/>
    <w:bookmarkEnd w:id="23"/>
    <w:bookmarkStart w:id="24" w:name="X7572fdcd901fe3f1729bd3473f4d1c63b8b7698"/>
    <w:p>
      <w:pPr>
        <w:pStyle w:val="Heading2"/>
      </w:pPr>
      <w:r>
        <w:t xml:space="preserve">III. Market Context: Midwifery in United States New York City</w:t>
      </w:r>
    </w:p>
    <w:p>
      <w:pPr>
        <w:pStyle w:val="FirstParagraph"/>
      </w:pPr>
      <w:r>
        <w:t xml:space="preserve">The success of this Sales Report is deeply rooted in the evolving healthcare landscape of United States New York City. NYC represents a critical market where midwifery services have transitioned from niche to mainstream due to:</w:t>
      </w:r>
    </w:p>
    <w:p>
      <w:pPr>
        <w:numPr>
          <w:ilvl w:val="0"/>
          <w:numId w:val="1002"/>
        </w:numPr>
        <w:pStyle w:val="Compact"/>
      </w:pPr>
      <w:r>
        <w:rPr>
          <w:bCs/>
          <w:b/>
        </w:rPr>
        <w:t xml:space="preserve">Policy Shifts:</w:t>
      </w:r>
      <w:r>
        <w:t xml:space="preserve"> </w:t>
      </w:r>
      <w:r>
        <w:t xml:space="preserve">The 2021 NYC Council Resolution 1463 expanding Medicaid coverage for certified midwives (effective January 2023)</w:t>
      </w:r>
    </w:p>
    <w:p>
      <w:pPr>
        <w:numPr>
          <w:ilvl w:val="0"/>
          <w:numId w:val="1002"/>
        </w:numPr>
        <w:pStyle w:val="Compact"/>
      </w:pPr>
      <w:r>
        <w:rPr>
          <w:bCs/>
          <w:b/>
        </w:rPr>
        <w:t xml:space="preserve">Maternal Health Crisis Response:</w:t>
      </w:r>
      <w:r>
        <w:t xml:space="preserve"> </w:t>
      </w:r>
      <w:r>
        <w:t xml:space="preserve">The city's initiative to reduce Black maternal mortality by 50% by 2030, with midwives at the forefront</w:t>
      </w:r>
    </w:p>
    <w:p>
      <w:pPr>
        <w:numPr>
          <w:ilvl w:val="0"/>
          <w:numId w:val="1002"/>
        </w:numPr>
        <w:pStyle w:val="Compact"/>
      </w:pPr>
      <w:r>
        <w:rPr>
          <w:bCs/>
          <w:b/>
        </w:rPr>
        <w:t xml:space="preserve">Cultural Demand:</w:t>
      </w:r>
      <w:r>
        <w:t xml:space="preserve"> </w:t>
      </w:r>
      <w:r>
        <w:t xml:space="preserve">Growing preference for culturally congruent care among NYC's diverse population (71% of residents identifying as non-white)</w:t>
      </w:r>
    </w:p>
    <w:p>
      <w:pPr>
        <w:pStyle w:val="FirstParagraph"/>
      </w:pPr>
      <w:r>
        <w:t xml:space="preserve">According to the New York City Department of Health and Mental Hygiene, midwifery services accounted for 22.4% of all low-risk births in NYC in 2023—up from 15.8% in 2019—demonstrating accelerated market penetration.</w:t>
      </w:r>
    </w:p>
    <w:bookmarkEnd w:id="24"/>
    <w:bookmarkStart w:id="25" w:name="Xa35b81a57db62b6d1ec0783210f45c5012900ff"/>
    <w:p>
      <w:pPr>
        <w:pStyle w:val="Heading2"/>
      </w:pPr>
      <w:r>
        <w:t xml:space="preserve">IV. Competitive Differentiation &amp; Strategic Advantages</w:t>
      </w:r>
    </w:p>
    <w:p>
      <w:pPr>
        <w:pStyle w:val="FirstParagraph"/>
      </w:pPr>
      <w:r>
        <w:t xml:space="preserve">This Sales Report highlights how our midwifery practice has outperformed competitors through three key differentiators:</w:t>
      </w:r>
    </w:p>
    <w:p>
      <w:pPr>
        <w:numPr>
          <w:ilvl w:val="0"/>
          <w:numId w:val="1003"/>
        </w:numPr>
        <w:pStyle w:val="Compact"/>
      </w:pPr>
      <w:r>
        <w:rPr>
          <w:bCs/>
          <w:b/>
        </w:rPr>
        <w:t xml:space="preserve">Community Integration:</w:t>
      </w:r>
      <w:r>
        <w:t xml:space="preserve"> </w:t>
      </w:r>
      <w:r>
        <w:t xml:space="preserve">Our 10 neighborhood-based clinics (including two in high-need ZIP codes: 10451 and 11372) provide services where clients live, unlike traditional hospital-centric models. This proximity drove a 34% higher conversion rate from community health fair leads.</w:t>
      </w:r>
    </w:p>
    <w:p>
      <w:pPr>
        <w:numPr>
          <w:ilvl w:val="0"/>
          <w:numId w:val="1003"/>
        </w:numPr>
        <w:pStyle w:val="Compact"/>
      </w:pPr>
      <w:r>
        <w:rPr>
          <w:bCs/>
          <w:b/>
        </w:rPr>
        <w:t xml:space="preserve">Technology Adoption:</w:t>
      </w:r>
      <w:r>
        <w:t xml:space="preserve"> </w:t>
      </w:r>
      <w:r>
        <w:t xml:space="preserve">The implementation of NYC-specific telehealth platforms (compliant with DOHMH regulations) enabled 43% of prenatal visits to be completed remotely, improving access for working mothers and those in transit deserts.</w:t>
      </w:r>
    </w:p>
    <w:p>
      <w:pPr>
        <w:numPr>
          <w:ilvl w:val="0"/>
          <w:numId w:val="1003"/>
        </w:numPr>
        <w:pStyle w:val="Compact"/>
      </w:pPr>
      <w:r>
        <w:rPr>
          <w:bCs/>
          <w:b/>
        </w:rPr>
        <w:t xml:space="preserve">Insurance Partnerships:</w:t>
      </w:r>
      <w:r>
        <w:t xml:space="preserve"> </w:t>
      </w:r>
      <w:r>
        <w:t xml:space="preserve">Securing contracts with 12 major Medicaid managed care plans (including NYC Health + Hospitals) ensured 92% of clients had seamless billing coverage—a critical factor absent in many competing practices.</w:t>
      </w:r>
    </w:p>
    <w:bookmarkEnd w:id="25"/>
    <w:bookmarkStart w:id="26" w:name="v.-challenges-strategic-response"/>
    <w:p>
      <w:pPr>
        <w:pStyle w:val="Heading2"/>
      </w:pPr>
      <w:r>
        <w:t xml:space="preserve">V. Challenges &amp; Strategic Response</w:t>
      </w:r>
    </w:p>
    <w:p>
      <w:pPr>
        <w:pStyle w:val="FirstParagraph"/>
      </w:pPr>
      <w:r>
        <w:t xml:space="preserve">Despite strong sales, the report identifies two challenges requiring immediate action:</w:t>
      </w:r>
    </w:p>
    <w:p>
      <w:pPr>
        <w:numPr>
          <w:ilvl w:val="0"/>
          <w:numId w:val="1004"/>
        </w:numPr>
        <w:pStyle w:val="Compact"/>
      </w:pPr>
      <w:r>
        <w:rPr>
          <w:bCs/>
          <w:b/>
        </w:rPr>
        <w:t xml:space="preserve">Regulatory Hurdles:</w:t>
      </w:r>
      <w:r>
        <w:t xml:space="preserve"> </w:t>
      </w:r>
      <w:r>
        <w:t xml:space="preserve">The NYC Department of Health's new documentation requirements for birth center licensure added 15% operational costs. Our response: Dedicated compliance team now ensures 100% adherence, reducing audit penalties by 76%.</w:t>
      </w:r>
    </w:p>
    <w:p>
      <w:pPr>
        <w:numPr>
          <w:ilvl w:val="0"/>
          <w:numId w:val="1004"/>
        </w:numPr>
        <w:pStyle w:val="Compact"/>
      </w:pPr>
      <w:r>
        <w:rPr>
          <w:bCs/>
          <w:b/>
        </w:rPr>
        <w:t xml:space="preserve">Staff Shortage:</w:t>
      </w:r>
      <w:r>
        <w:t xml:space="preserve"> </w:t>
      </w:r>
      <w:r>
        <w:t xml:space="preserve">Nationwide CNM shortage impacted our growth; we addressed this through a $250K investment in NYC-based midwifery residency programs with NYU and CUNY.</w:t>
      </w:r>
    </w:p>
    <w:p>
      <w:pPr>
        <w:pStyle w:val="FirstParagraph"/>
      </w:pPr>
      <w:r>
        <w:t xml:space="preserve">These actions directly contributed to maintaining the 89% client retention rate despite market headwinds.</w:t>
      </w:r>
    </w:p>
    <w:bookmarkEnd w:id="26"/>
    <w:bookmarkStart w:id="27" w:name="Xc411c1d90f3cf6f49f0ee17cf9e1a6569a6a82d"/>
    <w:p>
      <w:pPr>
        <w:pStyle w:val="Heading2"/>
      </w:pPr>
      <w:r>
        <w:t xml:space="preserve">VI. Future Growth Strategy (Q4 2023 &amp; Beyond)</w:t>
      </w:r>
    </w:p>
    <w:p>
      <w:pPr>
        <w:pStyle w:val="FirstParagraph"/>
      </w:pPr>
      <w:r>
        <w:t xml:space="preserve">This Sales Report concludes with a data-driven roadmap for sustained growth in United States New York City:</w:t>
      </w:r>
    </w:p>
    <w:p>
      <w:pPr>
        <w:numPr>
          <w:ilvl w:val="0"/>
          <w:numId w:val="1005"/>
        </w:numPr>
        <w:pStyle w:val="Compact"/>
      </w:pPr>
      <w:r>
        <w:rPr>
          <w:bCs/>
          <w:b/>
        </w:rPr>
        <w:t xml:space="preserve">Expansion into Underserved Areas:</w:t>
      </w:r>
      <w:r>
        <w:t xml:space="preserve"> </w:t>
      </w:r>
      <w:r>
        <w:t xml:space="preserve">Launching two new mobile midwifery units targeting the Bronx (ZIP 10463) and Queens (ZIP 11429) by Q1 2024, expected to generate $85K in additional quarterly revenue.</w:t>
      </w:r>
    </w:p>
    <w:p>
      <w:pPr>
        <w:numPr>
          <w:ilvl w:val="0"/>
          <w:numId w:val="1005"/>
        </w:numPr>
        <w:pStyle w:val="Compact"/>
      </w:pPr>
      <w:r>
        <w:rPr>
          <w:bCs/>
          <w:b/>
        </w:rPr>
        <w:t xml:space="preserve">Partnership Development:</w:t>
      </w:r>
      <w:r>
        <w:t xml:space="preserve"> </w:t>
      </w:r>
      <w:r>
        <w:t xml:space="preserve">Securing contracts with NYC's Community Health Centers network—potentially adding 5,000+ new Medicaid clients annually.</w:t>
      </w:r>
    </w:p>
    <w:p>
      <w:pPr>
        <w:numPr>
          <w:ilvl w:val="0"/>
          <w:numId w:val="1005"/>
        </w:numPr>
        <w:pStyle w:val="Compact"/>
      </w:pPr>
      <w:r>
        <w:rPr>
          <w:bCs/>
          <w:b/>
        </w:rPr>
        <w:t xml:space="preserve">Digital Transformation:</w:t>
      </w:r>
      <w:r>
        <w:t xml:space="preserve"> </w:t>
      </w:r>
      <w:r>
        <w:t xml:space="preserve">Implementing AI-driven client engagement tools to reduce no-show rates by 25% (current rate: 18%), directly boosting service utilization and revenue.</w:t>
      </w:r>
    </w:p>
    <w:bookmarkEnd w:id="27"/>
    <w:bookmarkStart w:id="28" w:name="vii.-conclusion"/>
    <w:p>
      <w:pPr>
        <w:pStyle w:val="Heading2"/>
      </w:pPr>
      <w:r>
        <w:t xml:space="preserve">VII. Conclusion</w:t>
      </w:r>
    </w:p>
    <w:p>
      <w:pPr>
        <w:pStyle w:val="FirstParagraph"/>
      </w:pPr>
      <w:r>
        <w:t xml:space="preserve">The Q3 Sales Report for midwifery services in United States New York City delivers unequivocal evidence of market leadership. Our strategic focus on community integration, regulatory excellence, and culturally responsive care has positioned certified midwives as essential healthcare providers across NYC's diverse neighborhoods. With revenue growth outpacing the national average by 43% and deepening equity impact (58% of new clients from historically marginalized groups), this practice is not merely meeting demand—it is reshaping the future of maternal care in urban America.</w:t>
      </w:r>
    </w:p>
    <w:p>
      <w:pPr>
        <w:pStyle w:val="BodyText"/>
      </w:pPr>
      <w:r>
        <w:t xml:space="preserve">As we enter 2024, the trajectory confirms that midwifery services have evolved from supplementary healthcare to a cornerstone of New York City's public health infrastructure. This Sales Report stands as proof that when patient-centered care aligns with systemic opportunity, both community health and business outcomes thrive. The midwife model has become a blueprint for scalable, equitable healthcare delivery in the United States—particularly within the complex, vibrant ecosystem of New York City.</w:t>
      </w:r>
    </w:p>
    <w:p>
      <w:pPr>
        <w:pStyle w:val="BodyText"/>
      </w:pPr>
      <w:r>
        <w:rPr>
          <w:bCs/>
          <w:b/>
        </w:rPr>
        <w:t xml:space="preserve">Appendix:</w:t>
      </w:r>
      <w:r>
        <w:t xml:space="preserve"> </w:t>
      </w:r>
      <w:r>
        <w:t xml:space="preserve">Full data sets available upon request through the NYC Health Department's Midwifery Performance Dashboard (access code: NYC_MID_2023Q3)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Sales Performance Report: United States New York City</dc:title>
  <dc:creator/>
  <dc:language>en</dc:language>
  <cp:keywords/>
  <dcterms:created xsi:type="dcterms:W3CDTF">2026-07-24T18:07:23Z</dcterms:created>
  <dcterms:modified xsi:type="dcterms:W3CDTF">2026-07-24T18:07:23Z</dcterms:modified>
</cp:coreProperties>
</file>

<file path=docProps/custom.xml><?xml version="1.0" encoding="utf-8"?>
<Properties xmlns="http://schemas.openxmlformats.org/officeDocument/2006/custom-properties" xmlns:vt="http://schemas.openxmlformats.org/officeDocument/2006/docPropsVTypes"/>
</file>