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Defense</w:t>
      </w:r>
      <w:r>
        <w:t xml:space="preserve"> </w:t>
      </w:r>
      <w:r>
        <w:t xml:space="preserve">Industry</w:t>
      </w:r>
      <w:r>
        <w:t xml:space="preserve"> </w:t>
      </w:r>
      <w:r>
        <w:t xml:space="preserve">Engagement</w:t>
      </w:r>
      <w:r>
        <w:t xml:space="preserve"> </w:t>
      </w:r>
      <w:r>
        <w:t xml:space="preserve">in</w:t>
      </w:r>
      <w:r>
        <w:t xml:space="preserve"> </w:t>
      </w:r>
      <w:r>
        <w:t xml:space="preserve">Beijing</w:t>
      </w:r>
    </w:p>
    <w:bookmarkStart w:id="29" w:name="Xf5a24b541567b756a396488c0077db1a36c114b"/>
    <w:p>
      <w:pPr>
        <w:pStyle w:val="Heading1"/>
      </w:pPr>
      <w:r>
        <w:t xml:space="preserve">Comprehensive Sales Performance Report: Strategic Partnerships in China's Defense Technology Sector (Beijing)</w:t>
      </w:r>
    </w:p>
    <w:bookmarkStart w:id="20" w:name="executive-summary"/>
    <w:p>
      <w:pPr>
        <w:pStyle w:val="Heading2"/>
      </w:pPr>
      <w:r>
        <w:t xml:space="preserve">Executive Summary</w:t>
      </w:r>
    </w:p>
    <w:p>
      <w:pPr>
        <w:pStyle w:val="FirstParagraph"/>
      </w:pPr>
      <w:r>
        <w:t xml:space="preserve">This report details the sales performance and strategic engagement of [Company Name] within Beijing's defense technology ecosystem during Q3 2023. The document focuses exclusively on legitimate commercial activities conducted through authorized channels with civilian defense contractors and government procurement agencies in Beijing, adhering strictly to China's National Defense Law and Military Service Regulations. Notably, no active-duty "military officer" served as a sales representative or engaged in commercial transactions, as prohibited by Chinese regulations. All engagement was conducted by qualified civilian personnel under the supervision of authorized defense industry management entities.</w:t>
      </w:r>
    </w:p>
    <w:bookmarkEnd w:id="20"/>
    <w:bookmarkStart w:id="21" w:name="X28ebb96257d120031bc9667d801c52a3e705118"/>
    <w:p>
      <w:pPr>
        <w:pStyle w:val="Heading2"/>
      </w:pPr>
      <w:r>
        <w:t xml:space="preserve">Market Context: Beijing Defense Industry Landscape</w:t>
      </w:r>
    </w:p>
    <w:p>
      <w:pPr>
        <w:pStyle w:val="FirstParagraph"/>
      </w:pPr>
      <w:r>
        <w:t xml:space="preserve">Beijing serves as the central hub for China's defense sector, housing critical institutions including the Central Military Commission (CMC) Equipment Department, China National Defense Science and Technology Industry Commission (CNSC), and major state-owned enterprises like AVIC (China Aviation Industry Corporation) and CSIC (China Shipbuilding Industry Corporation). The Beijing metropolitan area accounts for over 40% of China's defense R&amp;D investments. In this environment, sales activities must strictly comply with Article 12 of the People's Republic of China Military Service Law, which prohibits military personnel from engaging in commercial enterprises or profit-driven activities.</w:t>
      </w:r>
    </w:p>
    <w:bookmarkEnd w:id="21"/>
    <w:bookmarkStart w:id="22" w:name="Xdffb819d81624885c6eab2c38924c63640e2c35"/>
    <w:p>
      <w:pPr>
        <w:pStyle w:val="Heading2"/>
      </w:pPr>
      <w:r>
        <w:t xml:space="preserve">Key Sales Performance Metrics (Beijing Focus)</w:t>
      </w:r>
    </w:p>
    <w:p>
      <w:pPr>
        <w:pStyle w:val="FirstParagraph"/>
      </w:pPr>
      <w:r>
        <w:t xml:space="preserve">Product Category</w:t>
      </w:r>
    </w:p>
    <w:p>
      <w:pPr>
        <w:pStyle w:val="BodyText"/>
      </w:pPr>
      <w:r>
        <w:t xml:space="preserve">Beijing Contracts Signed</w:t>
      </w:r>
    </w:p>
    <w:p>
      <w:pPr>
        <w:pStyle w:val="BodyText"/>
      </w:pPr>
      <w:r>
        <w:t xml:space="preserve">Total Value (RMB)</w:t>
      </w:r>
    </w:p>
    <w:p>
      <w:pPr>
        <w:pStyle w:val="BodyText"/>
      </w:pPr>
      <w:r>
        <w:t xml:space="preserve">On-Time Delivery Rate</w:t>
      </w:r>
    </w:p>
    <w:p>
      <w:pPr>
        <w:pStyle w:val="BodyText"/>
      </w:pPr>
      <w:r>
        <w:t xml:space="preserve">Advanced Surveillance Systems</w:t>
      </w:r>
    </w:p>
    <w:p>
      <w:pPr>
        <w:pStyle w:val="BodyText"/>
      </w:pPr>
      <w:r>
        <w:t xml:space="preserve">7</w:t>
      </w:r>
    </w:p>
    <w:p>
      <w:pPr>
        <w:pStyle w:val="BodyText"/>
      </w:pPr>
      <w:r>
        <w:t xml:space="preserve">285,000,000</w:t>
      </w:r>
    </w:p>
    <w:p>
      <w:pPr>
        <w:pStyle w:val="BodyText"/>
      </w:pPr>
      <w:r>
        <w:t xml:space="preserve">96.3%</w:t>
      </w:r>
    </w:p>
    <w:p>
      <w:pPr>
        <w:pStyle w:val="BodyText"/>
      </w:pPr>
      <w:r>
        <w:t xml:space="preserve">Cybersecurity Solutions (Military-Grade)</w:t>
      </w:r>
    </w:p>
    <w:p>
      <w:pPr>
        <w:pStyle w:val="BodyText"/>
      </w:pPr>
      <w:r>
        <w:t xml:space="preserve">12</w:t>
      </w:r>
    </w:p>
    <w:p>
      <w:pPr>
        <w:pStyle w:val="BodyText"/>
      </w:pPr>
      <w:r>
        <w:t xml:space="preserve">The Beijing market demonstrated 18% year-over-year growth in defense technology procurement, driven by the Central Military Commission's 2023 modernization priorities. All sales were conducted through formal government tender processes managed by civilian procurement officers at institutions like the PLA General Logistics Department's Beijing-based headquarters. Notable achievements include securing a framework agreement with the Beijing-based National Defense Science and Technology University for next-generation sensor technology integration.</w:t>
      </w:r>
    </w:p>
    <w:bookmarkEnd w:id="22"/>
    <w:bookmarkStart w:id="24" w:name="strategic-engagement-framework"/>
    <w:p>
      <w:pPr>
        <w:pStyle w:val="Heading2"/>
      </w:pPr>
      <w:r>
        <w:t xml:space="preserve">Strategic Engagement Framework</w:t>
      </w:r>
    </w:p>
    <w:p>
      <w:pPr>
        <w:pStyle w:val="FirstParagraph"/>
      </w:pPr>
      <w:r>
        <w:t xml:space="preserve">This report emphasizes our adherence to China's "Military-Civilian Integration" policy (2015), which mandates all commercial transactions involving defense sectors to occur through officially sanctioned channels. Our Beijing sales team operates under the direct oversight of the Civil-Military Integration Management Committee at China Electronics Technology Group Corporation (CETC) headquarters. All personnel undergo rigorous compliance training regarding Articles 37-42 of the National Defense Education Law, which specifically prohibit military officers from participating in commercial negotiations or sales activities.</w:t>
      </w:r>
    </w:p>
    <w:bookmarkStart w:id="23" w:name="key-compliance-milestones-achieved"/>
    <w:p>
      <w:pPr>
        <w:pStyle w:val="Heading3"/>
      </w:pPr>
      <w:r>
        <w:t xml:space="preserve">Key Compliance Milestones Achieved:</w:t>
      </w:r>
    </w:p>
    <w:p>
      <w:pPr>
        <w:numPr>
          <w:ilvl w:val="0"/>
          <w:numId w:val="1001"/>
        </w:numPr>
        <w:pStyle w:val="Compact"/>
      </w:pPr>
      <w:r>
        <w:t xml:space="preserve">100% of Beijing contracts secured through Ministry of National Defense-authorized procurement portals</w:t>
      </w:r>
    </w:p>
    <w:p>
      <w:pPr>
        <w:numPr>
          <w:ilvl w:val="0"/>
          <w:numId w:val="1001"/>
        </w:numPr>
        <w:pStyle w:val="Compact"/>
      </w:pPr>
      <w:r>
        <w:t xml:space="preserve">Zero personnel violations identified during 18 months of Beijing operations</w:t>
      </w:r>
    </w:p>
    <w:p>
      <w:pPr>
        <w:numPr>
          <w:ilvl w:val="0"/>
          <w:numId w:val="1001"/>
        </w:numPr>
        <w:pStyle w:val="Compact"/>
      </w:pPr>
      <w:r>
        <w:t xml:space="preserve">All technical support provided by civilian engineers certified under the China Military Standard (GJB) system</w:t>
      </w:r>
    </w:p>
    <w:bookmarkEnd w:id="23"/>
    <w:bookmarkEnd w:id="24"/>
    <w:bookmarkStart w:id="25" w:name="X9acb45fcf43ed153832844f4df6645204e7a4b5"/>
    <w:p>
      <w:pPr>
        <w:pStyle w:val="Heading2"/>
      </w:pPr>
      <w:r>
        <w:t xml:space="preserve">Critical Analysis: Military-Civilian Collaboration Model in Beijing</w:t>
      </w:r>
    </w:p>
    <w:p>
      <w:pPr>
        <w:pStyle w:val="FirstParagraph"/>
      </w:pPr>
      <w:r>
        <w:t xml:space="preserve">Beijing's defense sector operates under a strict "dual-use technology" framework where military requirements inform civilian R&amp;D priorities. Our sales strategy aligns with this model by focusing on products that serve both defense and commercial applications (e.g., satellite communication systems). This approach has driven 32% market share growth in the Beijing surveillance technology segment, as documented in the Ministry of Industry and Information Technology's Q3 2023 report.</w:t>
      </w:r>
    </w:p>
    <w:p>
      <w:pPr>
        <w:pStyle w:val="BodyText"/>
      </w:pPr>
      <w:r>
        <w:t xml:space="preserve">Crucially, military officers from units like the PLA Rocket Force Equipment Department participate only in technical validation processes under formal government delegation protocols. They do not engage with sales teams or negotiate commercial terms – a practice explicitly prohibited by the 2019 Regulations on Military-Civilian Coordination. Our Beijing office maintains weekly compliance audits with the Central Commission for Discipline Inspection (CCDI) to ensure zero overlap between military personnel and commercial functions.</w:t>
      </w:r>
    </w:p>
    <w:bookmarkEnd w:id="25"/>
    <w:bookmarkStart w:id="26" w:name="beijing-specific-challenges-solutions"/>
    <w:p>
      <w:pPr>
        <w:pStyle w:val="Heading2"/>
      </w:pPr>
      <w:r>
        <w:t xml:space="preserve">Beijing-Specific Challenges &amp; Solutions</w:t>
      </w:r>
    </w:p>
    <w:p>
      <w:pPr>
        <w:pStyle w:val="FirstParagraph"/>
      </w:pPr>
      <w:r>
        <w:t xml:space="preserve">Operating in Beijing requires navigating unique regulatory landscapes. A major challenge emerged in July 2023 when a proposed technical demonstration required access to restricted facilities. Our solution involved immediate coordination with the Beijing Military District's Public Affairs Office (not military officers as sales personnel) to arrange an authorized, fully compliant demonstration at the China Academy of Launch Vehicle Technology facility under strict security protocols.</w:t>
      </w:r>
    </w:p>
    <w:p>
      <w:pPr>
        <w:pStyle w:val="BodyText"/>
      </w:pPr>
      <w:r>
        <w:t xml:space="preserve">Another critical factor is Beijing's stringent data localization requirements (per Article 27 of the Data Security Law). We implemented a dedicated Beijing-based data processing center for all defense-related sales analytics, ensuring zero cross-border transfers – a measure verified by the Beijing Cyberspace Administration during routine inspections in August 2023.</w:t>
      </w:r>
    </w:p>
    <w:bookmarkEnd w:id="26"/>
    <w:bookmarkStart w:id="27" w:name="X7e3b565abe037d0955bad46c99834ca311b6833"/>
    <w:p>
      <w:pPr>
        <w:pStyle w:val="Heading2"/>
      </w:pPr>
      <w:r>
        <w:t xml:space="preserve">Strategic Recommendations for Continued Growth</w:t>
      </w:r>
    </w:p>
    <w:p>
      <w:pPr>
        <w:numPr>
          <w:ilvl w:val="0"/>
          <w:numId w:val="1002"/>
        </w:numPr>
        <w:pStyle w:val="Compact"/>
      </w:pPr>
      <w:r>
        <w:rPr>
          <w:bCs/>
          <w:b/>
        </w:rPr>
        <w:t xml:space="preserve">Enhanced Compliance Infrastructure:</w:t>
      </w:r>
      <w:r>
        <w:t xml:space="preserve"> </w:t>
      </w:r>
      <w:r>
        <w:t xml:space="preserve">Establish a permanent Beijing compliance office co-located with the CNSC headquarters to streamline documentation for all defense technology sales, reducing procurement timelines by 25%</w:t>
      </w:r>
    </w:p>
    <w:p>
      <w:pPr>
        <w:numPr>
          <w:ilvl w:val="0"/>
          <w:numId w:val="1002"/>
        </w:numPr>
        <w:pStyle w:val="Compact"/>
      </w:pPr>
      <w:r>
        <w:rPr>
          <w:bCs/>
          <w:b/>
        </w:rPr>
        <w:t xml:space="preserve">Joint R&amp;D Partnerships:</w:t>
      </w:r>
      <w:r>
        <w:t xml:space="preserve"> </w:t>
      </w:r>
      <w:r>
        <w:t xml:space="preserve">Develop formal agreements with Beijing-based research institutions like Tsinghua University's National Defense Research Institute for co-development of dual-use technologies</w:t>
      </w:r>
    </w:p>
    <w:p>
      <w:pPr>
        <w:numPr>
          <w:ilvl w:val="0"/>
          <w:numId w:val="1002"/>
        </w:numPr>
        <w:pStyle w:val="Compact"/>
      </w:pPr>
      <w:r>
        <w:rPr>
          <w:bCs/>
          <w:b/>
        </w:rPr>
        <w:t xml:space="preserve">Military Liaison Protocol:</w:t>
      </w:r>
      <w:r>
        <w:t xml:space="preserve"> </w:t>
      </w:r>
      <w:r>
        <w:t xml:space="preserve">Formalize communication channels exclusively with civilian procurement officers at PLA General Logistics Department facilities (e.g., the 13th Bureau in Haidian District), maintaining strict separation from active-duty personnel</w:t>
      </w:r>
    </w:p>
    <w:bookmarkEnd w:id="27"/>
    <w:bookmarkStart w:id="28" w:name="conclusion"/>
    <w:p>
      <w:pPr>
        <w:pStyle w:val="Heading2"/>
      </w:pPr>
      <w:r>
        <w:t xml:space="preserve">Conclusion</w:t>
      </w:r>
    </w:p>
    <w:p>
      <w:pPr>
        <w:pStyle w:val="FirstParagraph"/>
      </w:pPr>
      <w:r>
        <w:t xml:space="preserve">[Company Name]'s Beijing defense technology sales performance reflects disciplined adherence to China's legal framework governing military-civilian relations. The report demonstrates that all commercial success stems from rigorous compliance with the prohibition on military officers engaging in sales activities, as mandated by Chinese law. Our strategic focus on legitimate civilian procurement channels – rather than any misrepresentation of personnel roles – has positioned us as a trusted partner in Beijing's defense modernization ecosystem.</w:t>
      </w:r>
    </w:p>
    <w:p>
      <w:pPr>
        <w:pStyle w:val="BodyText"/>
      </w:pPr>
      <w:r>
        <w:t xml:space="preserve">Looking ahead, we will intensify engagement with Beijing's new National Defense Innovation Center (established Q1 2023) to align our R&amp;D portfolio with the Central Military Commission's strategic priorities. All future initiatives will maintain absolute separation between military personnel and commercial functions, ensuring continued compliance with China's defense industry regulations while driving sustainable growth in Beijing's $45 billion annual defense technology market.</w:t>
      </w:r>
    </w:p>
    <w:p>
      <w:pPr>
        <w:pStyle w:val="BodyText"/>
      </w:pPr>
      <w:r>
        <w:rPr>
          <w:bCs/>
          <w:b/>
        </w:rPr>
        <w:t xml:space="preserve">Prepared By:</w:t>
      </w:r>
      <w:r>
        <w:t xml:space="preserve"> </w:t>
      </w:r>
      <w:r>
        <w:t xml:space="preserve">[Company Name] Beijing Strategic Sales Division</w:t>
      </w:r>
      <w:r>
        <w:br/>
      </w:r>
      <w:r>
        <w:rPr>
          <w:bCs/>
          <w:b/>
        </w:rPr>
        <w:t xml:space="preserve">Date:</w:t>
      </w:r>
      <w:r>
        <w:t xml:space="preserve"> </w:t>
      </w:r>
      <w:r>
        <w:t xml:space="preserve">October 26, 2023</w:t>
      </w:r>
      <w:r>
        <w:br/>
      </w:r>
      <w:r>
        <w:rPr>
          <w:bCs/>
          <w:b/>
        </w:rPr>
        <w:t xml:space="preserve">Compliance Verification:</w:t>
      </w:r>
      <w:r>
        <w:t xml:space="preserve"> </w:t>
      </w:r>
      <w:r>
        <w:t xml:space="preserve">Certified by CNSC Beijing Office (Reference: BN-1897/2023)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Defense Industry Engagement in Beijing</dc:title>
  <dc:creator/>
  <dc:language>en</dc:language>
  <cp:keywords/>
  <dcterms:created xsi:type="dcterms:W3CDTF">2026-07-24T00:28:44Z</dcterms:created>
  <dcterms:modified xsi:type="dcterms:W3CDTF">2026-07-24T00:28:44Z</dcterms:modified>
</cp:coreProperties>
</file>

<file path=docProps/custom.xml><?xml version="1.0" encoding="utf-8"?>
<Properties xmlns="http://schemas.openxmlformats.org/officeDocument/2006/custom-properties" xmlns:vt="http://schemas.openxmlformats.org/officeDocument/2006/docPropsVTypes"/>
</file>