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Military</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Israel</w:t>
      </w:r>
      <w:r>
        <w:t xml:space="preserve"> </w:t>
      </w:r>
      <w:r>
        <w:t xml:space="preserve">Tel</w:t>
      </w:r>
      <w:r>
        <w:t xml:space="preserve"> </w:t>
      </w:r>
      <w:r>
        <w:t xml:space="preserve">Aviv</w:t>
      </w:r>
    </w:p>
    <w:bookmarkStart w:id="27" w:name="X5b9af5c8d9b42b6ee7f30cf19b0d91aaf2388f5"/>
    <w:p>
      <w:pPr>
        <w:pStyle w:val="Heading1"/>
      </w:pPr>
      <w:r>
        <w:t xml:space="preserve">QUARTERLY SALES REPORT: DEFENSE SYSTEMS &amp; MILITARY TECHNOLOGY DIVISION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General Director, Defense Procurement Directorate</w:t>
      </w:r>
      <w:r>
        <w:br/>
      </w:r>
      <w:r>
        <w:rPr>
          <w:bCs/>
          <w:b/>
        </w:rPr>
        <w:t xml:space="preserve">Prepared By:</w:t>
      </w:r>
      <w:r>
        <w:t xml:space="preserve"> </w:t>
      </w:r>
      <w:r>
        <w:t xml:space="preserve">Strategic Accounts Division, Tel Aviv Office</w:t>
      </w:r>
      <w:r>
        <w:br/>
      </w:r>
      <w:r>
        <w:rPr>
          <w:bCs/>
          <w:b/>
        </w:rPr>
        <w:t xml:space="preserve">Location:</w:t>
      </w:r>
      <w:r>
        <w:t xml:space="preserve"> </w:t>
      </w:r>
      <w:r>
        <w:t xml:space="preserve">Israel Tel Aviv</w:t>
      </w:r>
    </w:p>
    <w:bookmarkStart w:id="20" w:name="i.-executive-summary"/>
    <w:p>
      <w:pPr>
        <w:pStyle w:val="Heading2"/>
      </w:pPr>
      <w:r>
        <w:t xml:space="preserve">I. EXECUTIVE SUMMARY</w:t>
      </w:r>
    </w:p>
    <w:p>
      <w:pPr>
        <w:pStyle w:val="FirstParagraph"/>
      </w:pPr>
      <w:r>
        <w:t xml:space="preserve">This Sales Report details the performance of our defense technology solutions portfolio with key military stakeholders across Israel, with special emphasis on operations in Tel Aviv. The current quarter (Q3 2023) demonstrates a 17% year-over-year increase in contract value, achieving $42.8M in closed deals—primarily driven by strategic engagements with the Israeli Defense Forces (IDF) and related military entities headquartered or operating within Israel Tel Aviv. Our dedicated Military Officer engagement strategy has proven critical to securing three major framework agreements, including two with the IDF's Northern Command and one with the Ministry of Defense's Technology Directorate based in Tel Aviv.</w:t>
      </w:r>
    </w:p>
    <w:bookmarkEnd w:id="20"/>
    <w:bookmarkStart w:id="21" w:name="Xe6b5b4bf1d03d561b7e2084f7c9f4582aadb9f0"/>
    <w:p>
      <w:pPr>
        <w:pStyle w:val="Heading2"/>
      </w:pPr>
      <w:r>
        <w:t xml:space="preserve">II. KEY SALES METRICS: ISRAEL TEL AVIV FOCUS</w:t>
      </w:r>
    </w:p>
    <w:p>
      <w:pPr>
        <w:pStyle w:val="FirstParagraph"/>
      </w:pPr>
      <w:r>
        <w:t xml:space="preserve">KPI</w:t>
      </w:r>
    </w:p>
    <w:p>
      <w:pPr>
        <w:pStyle w:val="BodyText"/>
      </w:pPr>
      <w:r>
        <w:t xml:space="preserve">Q3 2023</w:t>
      </w:r>
    </w:p>
    <w:p>
      <w:pPr>
        <w:pStyle w:val="BodyText"/>
      </w:pPr>
      <w:r>
        <w:t xml:space="preserve">YTD 2023</w:t>
      </w:r>
    </w:p>
    <w:p>
      <w:pPr>
        <w:pStyle w:val="BodyText"/>
      </w:pPr>
      <w:r>
        <w:t xml:space="preserve">LY (Q3)</w:t>
      </w:r>
    </w:p>
    <w:p>
      <w:pPr>
        <w:pStyle w:val="BodyText"/>
      </w:pPr>
      <w:r>
        <w:t xml:space="preserve">Total Closed Deals (Military Sector)</w:t>
      </w:r>
    </w:p>
    <w:p>
      <w:pPr>
        <w:pStyle w:val="BodyText"/>
      </w:pPr>
      <w:r>
        <w:t xml:space="preserve">$42.8M</w:t>
      </w:r>
    </w:p>
    <w:p>
      <w:pPr>
        <w:pStyle w:val="BodyText"/>
      </w:pPr>
      <w:r>
        <w:t xml:space="preserve">$119.5M</w:t>
      </w:r>
    </w:p>
    <w:p>
      <w:pPr>
        <w:pStyle w:val="BodyText"/>
      </w:pPr>
      <w:r>
        <w:t xml:space="preserve">$36.6M</w:t>
      </w:r>
    </w:p>
    <w:p>
      <w:pPr>
        <w:pStyle w:val="BodyText"/>
      </w:pPr>
      <w:r>
        <w:t xml:space="preserve">Key Military Officer Engagement Rate</w:t>
      </w:r>
    </w:p>
    <w:p>
      <w:pPr>
        <w:pStyle w:val="BodyText"/>
      </w:pPr>
      <w:r>
        <w:t xml:space="preserve">89%</w:t>
      </w:r>
    </w:p>
    <w:p>
      <w:pPr>
        <w:pStyle w:val="BodyText"/>
      </w:pPr>
      <w:r>
        <w:rPr>
          <w:bCs/>
          <w:b/>
        </w:rPr>
        <w:t xml:space="preserve">Geographic Breakdown (Tel Aviv-Centric Operations):</w:t>
      </w:r>
    </w:p>
    <w:p>
      <w:pPr>
        <w:numPr>
          <w:ilvl w:val="0"/>
          <w:numId w:val="1001"/>
        </w:numPr>
        <w:pStyle w:val="Compact"/>
      </w:pPr>
      <w:r>
        <w:rPr>
          <w:bCs/>
          <w:b/>
        </w:rPr>
        <w:t xml:space="preserve">Tel Aviv Headquarters:</w:t>
      </w:r>
      <w:r>
        <w:t xml:space="preserve"> </w:t>
      </w:r>
      <w:r>
        <w:t xml:space="preserve">62% of all military contracts originated from strategic interactions within Tel Aviv's defense cluster, including the IDF Technology and Logistics Directorate office at Rabin Square.</w:t>
      </w:r>
    </w:p>
    <w:p>
      <w:pPr>
        <w:numPr>
          <w:ilvl w:val="0"/>
          <w:numId w:val="1001"/>
        </w:numPr>
        <w:pStyle w:val="Compact"/>
      </w:pPr>
      <w:r>
        <w:rPr>
          <w:bCs/>
          <w:b/>
        </w:rPr>
        <w:t xml:space="preserve">National Military Infrastructure:</w:t>
      </w:r>
      <w:r>
        <w:t xml:space="preserve"> </w:t>
      </w:r>
      <w:r>
        <w:t xml:space="preserve">37% of deals directly support systems deployed across critical Tel Aviv-area facilities (e.g., Central Command HQ, National Cyber Defense Center).</w:t>
      </w:r>
    </w:p>
    <w:p>
      <w:pPr>
        <w:numPr>
          <w:ilvl w:val="0"/>
          <w:numId w:val="1001"/>
        </w:numPr>
        <w:pStyle w:val="Compact"/>
      </w:pPr>
      <w:r>
        <w:rPr>
          <w:bCs/>
          <w:b/>
        </w:rPr>
        <w:t xml:space="preserve">Regional Impact:</w:t>
      </w:r>
      <w:r>
        <w:t xml:space="preserve"> </w:t>
      </w:r>
      <w:r>
        <w:t xml:space="preserve">Every deal closed in Q3 includes embedded capability for rapid deployment to Israel's northern border—reflecting our tailored approach to the unique operational needs of an IDF Military Officer conducting frontline operations from Tel Aviv-based command structures.</w:t>
      </w:r>
    </w:p>
    <w:bookmarkEnd w:id="21"/>
    <w:bookmarkStart w:id="22" w:name="Xd2fd1d6cbb59fc5bae05cd122418db3f6937063"/>
    <w:p>
      <w:pPr>
        <w:pStyle w:val="Heading2"/>
      </w:pPr>
      <w:r>
        <w:t xml:space="preserve">III. STRATEGIC ENGAGEMENTS WITH MILITARY OFFICERS</w:t>
      </w:r>
    </w:p>
    <w:p>
      <w:pPr>
        <w:pStyle w:val="FirstParagraph"/>
      </w:pPr>
      <w:r>
        <w:t xml:space="preserve">Our success stems from a specialized protocol for engaging Israeli Defense Forces (IDF) Military Officers, designed specifically for Israel Tel Aviv's operational context:</w:t>
      </w:r>
    </w:p>
    <w:p>
      <w:pPr>
        <w:numPr>
          <w:ilvl w:val="0"/>
          <w:numId w:val="1002"/>
        </w:numPr>
        <w:pStyle w:val="Compact"/>
      </w:pPr>
      <w:r>
        <w:rPr>
          <w:bCs/>
          <w:b/>
        </w:rPr>
        <w:t xml:space="preserve">Command-Level Access Protocol:</w:t>
      </w:r>
      <w:r>
        <w:t xml:space="preserve"> </w:t>
      </w:r>
      <w:r>
        <w:t xml:space="preserve">All engagements with Major General-level officers at the IDF Northern Command (based in Tel Aviv) now include direct briefings at the Givat Ram Military Complex. In Q3, 14 such sessions occurred, resulting in three framework agreements worth $28.5M.</w:t>
      </w:r>
    </w:p>
    <w:p>
      <w:pPr>
        <w:numPr>
          <w:ilvl w:val="0"/>
          <w:numId w:val="1002"/>
        </w:numPr>
        <w:pStyle w:val="Compact"/>
      </w:pPr>
      <w:r>
        <w:rPr>
          <w:bCs/>
          <w:b/>
        </w:rPr>
        <w:t xml:space="preserve">Technology Demonstration Integration:</w:t>
      </w:r>
      <w:r>
        <w:t xml:space="preserve"> </w:t>
      </w:r>
      <w:r>
        <w:t xml:space="preserve">We redesigned our demo process to align with Tel Aviv's military training cycles (e.g., "Operation Iron Shield" drills). This resulted in a 92% conversion rate from demo to pilot for our AI-driven border surveillance systems at the Israel-Turkish border checkpoint—a system now being integrated into IDF Northern Command protocols.</w:t>
      </w:r>
    </w:p>
    <w:p>
      <w:pPr>
        <w:numPr>
          <w:ilvl w:val="0"/>
          <w:numId w:val="1002"/>
        </w:numPr>
        <w:pStyle w:val="Compact"/>
      </w:pPr>
      <w:r>
        <w:rPr>
          <w:bCs/>
          <w:b/>
        </w:rPr>
        <w:t xml:space="preserve">Compliance &amp; Localization:</w:t>
      </w:r>
      <w:r>
        <w:t xml:space="preserve"> </w:t>
      </w:r>
      <w:r>
        <w:t xml:space="preserve">Every proposal includes full adherence to Israel's Defense Export Regulations (DER) and features Tel Aviv-based technical support teams. This was pivotal in winning the Ministry of Defense contract for the "Naggar 3.0" drone system, with all R&amp;D conducted by our Tel Aviv engineering hub.</w:t>
      </w:r>
    </w:p>
    <w:bookmarkEnd w:id="22"/>
    <w:bookmarkStart w:id="23" w:name="Xe800ccd4714f10f73e13ed65109cc04df7a0075"/>
    <w:p>
      <w:pPr>
        <w:pStyle w:val="Heading2"/>
      </w:pPr>
      <w:r>
        <w:t xml:space="preserve">IV. TEL AVIV-DRIVEN INNOVATION HUB IMPACT</w:t>
      </w:r>
    </w:p>
    <w:p>
      <w:pPr>
        <w:pStyle w:val="FirstParagraph"/>
      </w:pPr>
      <w:r>
        <w:t xml:space="preserve">Our Israel Tel Aviv office functions as a military technology innovation nexus, directly influencing sales outcomes:</w:t>
      </w:r>
    </w:p>
    <w:p>
      <w:pPr>
        <w:numPr>
          <w:ilvl w:val="0"/>
          <w:numId w:val="1003"/>
        </w:numPr>
        <w:pStyle w:val="Compact"/>
      </w:pPr>
      <w:r>
        <w:rPr>
          <w:bCs/>
          <w:b/>
        </w:rPr>
        <w:t xml:space="preserve">Cybersecurity Integration:</w:t>
      </w:r>
      <w:r>
        <w:t xml:space="preserve"> </w:t>
      </w:r>
      <w:r>
        <w:t xml:space="preserve">The Tel Aviv R&amp;D center developed the "Shimshon" cyber-defense module in response to an urgent request from an IDF Military Officer during the October 2023 Gaza conflict. This solution was fielded within 72 hours and became part of all new artillery systems.</w:t>
      </w:r>
    </w:p>
    <w:p>
      <w:pPr>
        <w:numPr>
          <w:ilvl w:val="0"/>
          <w:numId w:val="1003"/>
        </w:numPr>
        <w:pStyle w:val="Compact"/>
      </w:pPr>
      <w:r>
        <w:rPr>
          <w:bCs/>
          <w:b/>
        </w:rPr>
        <w:t xml:space="preserve">Urban Operations Focus:</w:t>
      </w:r>
      <w:r>
        <w:t xml:space="preserve"> </w:t>
      </w:r>
      <w:r>
        <w:t xml:space="preserve">Leveraging Tel Aviv's status as Israel's second-largest military hub (after Jerusalem), we designed our "City Shield" tactical system for urban combat scenarios. This directly addressed a gap identified by Colonel David Cohen (IDF Ground Forces) during an informal briefing at the Tel Aviv War College.</w:t>
      </w:r>
    </w:p>
    <w:p>
      <w:pPr>
        <w:numPr>
          <w:ilvl w:val="0"/>
          <w:numId w:val="1003"/>
        </w:numPr>
        <w:pStyle w:val="Compact"/>
      </w:pPr>
      <w:r>
        <w:rPr>
          <w:bCs/>
          <w:b/>
        </w:rPr>
        <w:t xml:space="preserve">Supply Chain Resilience:</w:t>
      </w:r>
      <w:r>
        <w:t xml:space="preserve"> </w:t>
      </w:r>
      <w:r>
        <w:t xml:space="preserve">Operating from Israel Tel Aviv provides critical logistical advantages. All military equipment delivered in Q3 was manufactured within 50km of our Tel Aviv facility, reducing lead times by 41% for IDF units operating across the country.</w:t>
      </w:r>
    </w:p>
    <w:bookmarkEnd w:id="23"/>
    <w:bookmarkStart w:id="24" w:name="v.-challenges-solutions"/>
    <w:p>
      <w:pPr>
        <w:pStyle w:val="Heading2"/>
      </w:pPr>
      <w:r>
        <w:t xml:space="preserve">V. CHALLENGES &amp; SOLUTIONS</w:t>
      </w:r>
    </w:p>
    <w:p>
      <w:pPr>
        <w:pStyle w:val="FirstParagraph"/>
      </w:pPr>
      <w:r>
        <w:t xml:space="preserve">Two significant challenges emerged during Q3 sales cycles:</w:t>
      </w:r>
    </w:p>
    <w:p>
      <w:pPr>
        <w:numPr>
          <w:ilvl w:val="0"/>
          <w:numId w:val="1004"/>
        </w:numPr>
        <w:pStyle w:val="Compact"/>
      </w:pPr>
      <w:r>
        <w:rPr>
          <w:bCs/>
          <w:b/>
        </w:rPr>
        <w:t xml:space="preserve">Regulatory Complexity:</w:t>
      </w:r>
      <w:r>
        <w:t xml:space="preserve"> </w:t>
      </w:r>
      <w:r>
        <w:t xml:space="preserve">A proposed sale of electronic warfare systems was delayed due to IDF procurement rules. Our Tel Aviv-based regulatory specialist (a former Military Officer) worked directly with the Ministry of Defense's legal team, resolving the issue in 8 days—significantly faster than industry average.</w:t>
      </w:r>
    </w:p>
    <w:p>
      <w:pPr>
        <w:numPr>
          <w:ilvl w:val="0"/>
          <w:numId w:val="1004"/>
        </w:numPr>
        <w:pStyle w:val="Compact"/>
      </w:pPr>
      <w:r>
        <w:rPr>
          <w:bCs/>
          <w:b/>
        </w:rPr>
        <w:t xml:space="preserve">Competitive Pressure:</w:t>
      </w:r>
      <w:r>
        <w:t xml:space="preserve"> </w:t>
      </w:r>
      <w:r>
        <w:t xml:space="preserve">An international bidder attempted to undercut our price for border surveillance. We countered by emphasizing our Tel Aviv-based maintenance ecosystem (with 24/7 support from within IDF operational hours), securing the deal through value-over-price positioning.</w:t>
      </w:r>
    </w:p>
    <w:bookmarkEnd w:id="24"/>
    <w:bookmarkStart w:id="25" w:name="vi.-future-strategy-q4-2023-beyond"/>
    <w:p>
      <w:pPr>
        <w:pStyle w:val="Heading2"/>
      </w:pPr>
      <w:r>
        <w:t xml:space="preserve">VI. FUTURE STRATEGY: Q4 2023 &amp; BEYOND</w:t>
      </w:r>
    </w:p>
    <w:p>
      <w:pPr>
        <w:pStyle w:val="FirstParagraph"/>
      </w:pPr>
      <w:r>
        <w:t xml:space="preserve">Building on our Israel Tel Aviv foundation, the following initiatives are prioritized:</w:t>
      </w:r>
    </w:p>
    <w:p>
      <w:pPr>
        <w:numPr>
          <w:ilvl w:val="0"/>
          <w:numId w:val="1005"/>
        </w:numPr>
        <w:pStyle w:val="Compact"/>
      </w:pPr>
      <w:r>
        <w:rPr>
          <w:bCs/>
          <w:b/>
        </w:rPr>
        <w:t xml:space="preserve">Expansion of Military Officer Advisory Council:</w:t>
      </w:r>
      <w:r>
        <w:t xml:space="preserve"> </w:t>
      </w:r>
      <w:r>
        <w:t xml:space="preserve">Establishing a formal council of five active-duty IDF officers (including two from Tel Aviv-based commands) to co-develop next-generation solutions. Pilot program commencing November 15.</w:t>
      </w:r>
    </w:p>
    <w:p>
      <w:pPr>
        <w:numPr>
          <w:ilvl w:val="0"/>
          <w:numId w:val="1005"/>
        </w:numPr>
        <w:pStyle w:val="Compact"/>
      </w:pPr>
      <w:r>
        <w:rPr>
          <w:bCs/>
          <w:b/>
        </w:rPr>
        <w:t xml:space="preserve">Tel Aviv Defense Innovation Fund:</w:t>
      </w:r>
      <w:r>
        <w:t xml:space="preserve"> </w:t>
      </w:r>
      <w:r>
        <w:t xml:space="preserve">Allocating $5M toward startups in Israel Tel Aviv focused on military tech. This will generate pipeline for future sales while strengthening our local ecosystem—directly aligning with the IDF's "Start-Up Nation" strategy.</w:t>
      </w:r>
    </w:p>
    <w:p>
      <w:pPr>
        <w:numPr>
          <w:ilvl w:val="0"/>
          <w:numId w:val="1005"/>
        </w:numPr>
        <w:pStyle w:val="Compact"/>
      </w:pPr>
      <w:r>
        <w:rPr>
          <w:bCs/>
          <w:b/>
        </w:rPr>
        <w:t xml:space="preserve">Operational Readiness Guarantee:</w:t>
      </w:r>
      <w:r>
        <w:t xml:space="preserve"> </w:t>
      </w:r>
      <w:r>
        <w:t xml:space="preserve">Introducing a new SLA where all systems sold to military clients include 100% uptime during IDF operational cycles (7am-12pm Israel time), backed by Tel Aviv-based engineering teams on-site at key facilities.</w:t>
      </w:r>
    </w:p>
    <w:bookmarkEnd w:id="25"/>
    <w:bookmarkStart w:id="26" w:name="vii.-conclusion"/>
    <w:p>
      <w:pPr>
        <w:pStyle w:val="Heading2"/>
      </w:pPr>
      <w:r>
        <w:t xml:space="preserve">VII. CONCLUSION</w:t>
      </w:r>
    </w:p>
    <w:p>
      <w:pPr>
        <w:pStyle w:val="FirstParagraph"/>
      </w:pPr>
      <w:r>
        <w:t xml:space="preserve">This Sales Report underscores how our strategic focus on Israel Tel Aviv—not merely as a geographic location but as the operational heart of Israeli defense—has directly driven military sales success. The unique value proposition delivered through dedicated Military Officer engagement, combined with Tel Aviv's unparalleled defense innovation ecosystem, has positioned us as a preferred vendor for IDF acquisition leaders. Our $42.8M Q3 achievement represents not just transactional success but validation of our model: where an Israeli Defense Forces Military Officer operating from Tel Aviv sees immediate operational advantage in our solutions.</w:t>
      </w:r>
    </w:p>
    <w:p>
      <w:pPr>
        <w:pStyle w:val="BodyText"/>
      </w:pPr>
      <w:r>
        <w:t xml:space="preserve">As the IDF continues to modernize its capabilities with Israel Tel Aviv as the central command nexus, we are committed to deepening this partnership. The next quarter will focus on converting Q3's framework agreements into fielded systems across all IDF commands, with particular emphasis on enhancing border security operations from our Tel Aviv headquarters.</w:t>
      </w:r>
    </w:p>
    <w:p>
      <w:pPr>
        <w:pStyle w:val="BodyText"/>
      </w:pPr>
      <w:r>
        <w:rPr>
          <w:bCs/>
          <w:b/>
        </w:rPr>
        <w:t xml:space="preserve">Prepared by:</w:t>
      </w:r>
      <w:r>
        <w:t xml:space="preserve"> </w:t>
      </w:r>
      <w:r>
        <w:t xml:space="preserve">Avi Cohen</w:t>
      </w:r>
      <w:r>
        <w:br/>
      </w:r>
      <w:r>
        <w:t xml:space="preserve">Director of Military Accounts, Israel Tel Aviv</w:t>
      </w:r>
      <w:r>
        <w:br/>
      </w:r>
      <w:r>
        <w:t xml:space="preserve">Global Defense Systems Inc.</w:t>
      </w:r>
      <w:r>
        <w:br/>
      </w:r>
      <w:r>
        <w:t xml:space="preserve">Tel: +972-3-5678900 | Email: avi.cohen@globaldefense.co.il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Sales Performance Report - Israel Tel Aviv</dc:title>
  <dc:creator/>
  <dc:language>en</dc:language>
  <cp:keywords/>
  <dcterms:created xsi:type="dcterms:W3CDTF">2026-06-04T03:34:11Z</dcterms:created>
  <dcterms:modified xsi:type="dcterms:W3CDTF">2026-06-04T03:34:11Z</dcterms:modified>
</cp:coreProperties>
</file>

<file path=docProps/custom.xml><?xml version="1.0" encoding="utf-8"?>
<Properties xmlns="http://schemas.openxmlformats.org/officeDocument/2006/custom-properties" xmlns:vt="http://schemas.openxmlformats.org/officeDocument/2006/docPropsVTypes"/>
</file>