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a180ef682895c36d8c66b1f55ef01f19b5f305"/>
    <w:p>
      <w:pPr>
        <w:pStyle w:val="Heading1"/>
      </w:pPr>
      <w:r>
        <w:t xml:space="preserve">QUARTERLY SALES REPORT: MILITARY OFFICER PROCUREMENT AND DEFENSE SOLUTIONS IN MALAYSIA KUALA LUMPUR</w:t>
      </w:r>
    </w:p>
    <w:bookmarkStart w:id="27" w:name="Xa590b81b2ed320f416238f50b0407d6d0a986d6"/>
    <w:p>
      <w:pPr>
        <w:pStyle w:val="Heading2"/>
      </w:pPr>
      <w:r>
        <w:t xml:space="preserve">Prepared For: Malaysian Armed Forces Procurement Directorate, Kuala Lumpur</w:t>
      </w:r>
    </w:p>
    <w:p>
      <w:pPr>
        <w:pStyle w:val="FirstParagraph"/>
      </w:pPr>
      <w:r>
        <w:t xml:space="preserve">Date: October 26, 2023 | Prepared By: Global Defense Solutions (GDS) - Southeast Asia Division</w:t>
      </w:r>
    </w:p>
    <w:bookmarkStart w:id="20" w:name="executive-summary"/>
    <w:p>
      <w:pPr>
        <w:pStyle w:val="Heading3"/>
      </w:pPr>
      <w:r>
        <w:t xml:space="preserve">Executive Summary</w:t>
      </w:r>
    </w:p>
    <w:p>
      <w:pPr>
        <w:pStyle w:val="FirstParagraph"/>
      </w:pPr>
      <w:r>
        <w:t xml:space="preserve">This comprehensive Sales Report details the strategic procurement activities and market performance of defense solutions for military officers across Malaysia Kuala Lumpur during Q3 2023. As a leading defense contractor servicing the Royal Malaysian Armed Forces (RMAF), GDS has achieved a 15% year-over-year growth in officer-level equipment sales, securing contracts valued at RM 87.4 million within the Klang Valley metropolitan area. This success underscores our deepening partnership with military leadership in Kuala Lumpur, where we've established tailored solutions for field commanders and strategic decision-makers.</w:t>
      </w:r>
    </w:p>
    <w:bookmarkEnd w:id="20"/>
    <w:bookmarkStart w:id="21" w:name="X07b8a7d1c0ce8aac65bac7fb5c6ddbdf6b72201"/>
    <w:p>
      <w:pPr>
        <w:pStyle w:val="Heading3"/>
      </w:pPr>
      <w:r>
        <w:t xml:space="preserve">1. Strategic Context: Military Officer Requirements in Malaysia Kuala Lumpur</w:t>
      </w:r>
    </w:p>
    <w:p>
      <w:pPr>
        <w:pStyle w:val="FirstParagraph"/>
      </w:pPr>
      <w:r>
        <w:t xml:space="preserve">Kuala Lumpur serves as the central nexus for military procurement strategy across Malaysia. The Ministry of Defense (MOD) has prioritized modernization initiatives under its National Defence Policy 2025, requiring specialized equipment for military officers at all command levels. In Q3, we focused on three critical officer-centric solutions:</w:t>
      </w:r>
    </w:p>
    <w:p>
      <w:pPr>
        <w:numPr>
          <w:ilvl w:val="0"/>
          <w:numId w:val="1001"/>
        </w:numPr>
        <w:pStyle w:val="Compact"/>
      </w:pPr>
      <w:r>
        <w:rPr>
          <w:bCs/>
          <w:b/>
        </w:rPr>
        <w:t xml:space="preserve">Advanced Tactical Command Systems</w:t>
      </w:r>
      <w:r>
        <w:t xml:space="preserve">: Customized communication suites for brigade-level commanders</w:t>
      </w:r>
    </w:p>
    <w:p>
      <w:pPr>
        <w:numPr>
          <w:ilvl w:val="0"/>
          <w:numId w:val="1001"/>
        </w:numPr>
        <w:pStyle w:val="Compact"/>
      </w:pPr>
      <w:r>
        <w:rPr>
          <w:bCs/>
          <w:b/>
        </w:rPr>
        <w:t xml:space="preserve">Precision Field Logistics Platforms</w:t>
      </w:r>
      <w:r>
        <w:t xml:space="preserve">: Vehicle-mounted supply management systems for battalion operations</w:t>
      </w:r>
    </w:p>
    <w:p>
      <w:pPr>
        <w:numPr>
          <w:ilvl w:val="0"/>
          <w:numId w:val="1001"/>
        </w:numPr>
        <w:pStyle w:val="Compact"/>
      </w:pPr>
      <w:r>
        <w:rPr>
          <w:bCs/>
          <w:b/>
        </w:rPr>
        <w:t xml:space="preserve">Biometric Security Integration Modules</w:t>
      </w:r>
      <w:r>
        <w:t xml:space="preserve">: For secure access to military installations across KL and regional bases</w:t>
      </w:r>
    </w:p>
    <w:p>
      <w:pPr>
        <w:pStyle w:val="FirstParagraph"/>
      </w:pPr>
      <w:r>
        <w:t xml:space="preserve">These solutions directly address the Malaysian Army's "Operation Guardian Shield" modernization framework, where officer efficiency metrics drive procurement decisions. Our sales team maintained weekly briefings with the Joint Operations Command in Kuala Lumpur's Bukit Aman complex to align offerings with operational requirements.</w:t>
      </w:r>
    </w:p>
    <w:bookmarkEnd w:id="21"/>
    <w:bookmarkStart w:id="22" w:name="X0e9b8d33f72983cc897bff40a137bdb1420a10a"/>
    <w:p>
      <w:pPr>
        <w:pStyle w:val="Heading3"/>
      </w:pPr>
      <w:r>
        <w:t xml:space="preserve">2. Q3 Sales Performance: Military Officer-Focused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Units Sold (Q3)</w:t>
            </w:r>
          </w:p>
        </w:tc>
        <w:tc>
          <w:tcPr/>
          <w:p>
            <w:pPr>
              <w:pStyle w:val="Compact"/>
              <w:jc w:val="left"/>
            </w:pPr>
            <w:r>
              <w:t xml:space="preserve">Contract Value (RM)</w:t>
            </w:r>
          </w:p>
        </w:tc>
        <w:tc>
          <w:tcPr/>
          <w:p>
            <w:pPr>
              <w:pStyle w:val="Compact"/>
              <w:jc w:val="left"/>
            </w:pPr>
            <w:r>
              <w:t xml:space="preserve">Key Military Officer Beneficiaries</w:t>
            </w:r>
          </w:p>
        </w:tc>
      </w:tr>
      <w:tr>
        <w:tc>
          <w:tcPr/>
          <w:p>
            <w:pPr>
              <w:pStyle w:val="Compact"/>
              <w:jc w:val="left"/>
            </w:pPr>
            <w:r>
              <w:t xml:space="preserve">Tactical Command Systems</w:t>
            </w:r>
          </w:p>
        </w:tc>
        <w:tc>
          <w:tcPr/>
          <w:p>
            <w:pPr>
              <w:pStyle w:val="Compact"/>
              <w:jc w:val="left"/>
            </w:pPr>
            <w:r>
              <w:t xml:space="preserve">42</w:t>
            </w:r>
          </w:p>
        </w:tc>
        <w:tc>
          <w:tcPr/>
          <w:p>
            <w:pPr>
              <w:pStyle w:val="Compact"/>
              <w:jc w:val="left"/>
            </w:pPr>
            <w:r>
              <w:t xml:space="preserve">41,200,000</w:t>
            </w:r>
          </w:p>
        </w:tc>
        <w:tc>
          <w:tcPr/>
          <w:p>
            <w:pPr>
              <w:pStyle w:val="Compact"/>
              <w:jc w:val="left"/>
            </w:pPr>
            <w:r>
              <w:t xml:space="preserve">RMAF Brigadier Generals &amp; Army Commanders (KL HQ)</w:t>
            </w:r>
          </w:p>
        </w:tc>
      </w:tr>
      <w:tr>
        <w:tc>
          <w:tcPr/>
          <w:p>
            <w:pPr>
              <w:pStyle w:val="Compact"/>
              <w:jc w:val="left"/>
            </w:pPr>
            <w:r>
              <w:t xml:space="preserve">Logistics Platforms</w:t>
            </w:r>
          </w:p>
        </w:tc>
        <w:tc>
          <w:tcPr/>
          <w:p>
            <w:pPr>
              <w:pStyle w:val="Compact"/>
              <w:jc w:val="left"/>
            </w:pPr>
            <w:r>
              <w:t xml:space="preserve">187</w:t>
            </w:r>
          </w:p>
        </w:tc>
        <w:tc>
          <w:tcPr/>
          <w:p>
            <w:pPr>
              <w:pStyle w:val="Compact"/>
              <w:jc w:val="left"/>
            </w:pPr>
            <w:r>
              <w:t xml:space="preserve">38,550,000</w:t>
            </w:r>
          </w:p>
        </w:tc>
        <w:tc>
          <w:tcPr/>
          <w:p>
            <w:pPr>
              <w:pStyle w:val="Compact"/>
              <w:jc w:val="left"/>
            </w:pPr>
            <w:r>
              <w:t xml:space="preserve">Battalion COs (Kuala Lumpur Military District)</w:t>
            </w:r>
          </w:p>
        </w:tc>
      </w:tr>
      <w:tr>
        <w:tc>
          <w:tcPr/>
          <w:p>
            <w:pPr>
              <w:pStyle w:val="Compact"/>
              <w:jc w:val="left"/>
            </w:pPr>
            <w:r>
              <w:t xml:space="preserve">Biometric Security Modules</w:t>
            </w:r>
          </w:p>
        </w:tc>
        <w:tc>
          <w:tcPr/>
          <w:p>
            <w:pPr>
              <w:pStyle w:val="Compact"/>
              <w:jc w:val="left"/>
            </w:pPr>
            <w:r>
              <w:t xml:space="preserve">942</w:t>
            </w:r>
          </w:p>
        </w:tc>
        <w:tc>
          <w:tcPr/>
          <w:p>
            <w:pPr>
              <w:pStyle w:val="Compact"/>
              <w:jc w:val="left"/>
            </w:pPr>
            <w:r>
              <w:t xml:space="preserve">6,850,000</w:t>
            </w:r>
          </w:p>
        </w:tc>
        <w:tc>
          <w:tcPr/>
          <w:p>
            <w:pPr>
              <w:pStyle w:val="Compact"/>
              <w:jc w:val="left"/>
            </w:pPr>
            <w:r>
              <w:t xml:space="preserve">All military installations in KL Region (Perlis to Johor)</w:t>
            </w:r>
          </w:p>
        </w:tc>
      </w:tr>
    </w:tbl>
    <w:p>
      <w:pPr>
        <w:pStyle w:val="BodyText"/>
      </w:pPr>
      <w:r>
        <w:t xml:space="preserve">The 15% YoY growth represents a strategic shift toward officer-tier procurement. Previously focused on bulk equipment for enlisted personnel, GDS now dedicates 68% of our sales resources to military officer-specific solutions following MOD's directive to "enhance command-level operational capabilities." Our KL-based sales force (12 dedicated officers) achieved a 92% client retention rate among the Malaysian Army's commanding officers.</w:t>
      </w:r>
    </w:p>
    <w:bookmarkEnd w:id="22"/>
    <w:bookmarkStart w:id="23" w:name="X0e5e7f129feaa585bfcfcde228f061e68851fd1"/>
    <w:p>
      <w:pPr>
        <w:pStyle w:val="Heading3"/>
      </w:pPr>
      <w:r>
        <w:t xml:space="preserve">3. Kuala Lumpur Market Analysis: Unique Military Procurement Dynamics</w:t>
      </w:r>
    </w:p>
    <w:p>
      <w:pPr>
        <w:pStyle w:val="FirstParagraph"/>
      </w:pPr>
      <w:r>
        <w:t xml:space="preserve">Malaysia Kuala Lumpur's military procurement landscape presents distinct advantages for defense contractors:</w:t>
      </w:r>
    </w:p>
    <w:p>
      <w:pPr>
        <w:numPr>
          <w:ilvl w:val="0"/>
          <w:numId w:val="1002"/>
        </w:numPr>
        <w:pStyle w:val="Compact"/>
      </w:pPr>
      <w:r>
        <w:rPr>
          <w:bCs/>
          <w:b/>
        </w:rPr>
        <w:t xml:space="preserve">Centralized Decision-Making</w:t>
      </w:r>
      <w:r>
        <w:t xml:space="preserve">: 70% of major contracts originate from KL-based MOD offices, requiring precise engagement with military officers at the General Officer rank</w:t>
      </w:r>
    </w:p>
    <w:p>
      <w:pPr>
        <w:numPr>
          <w:ilvl w:val="0"/>
          <w:numId w:val="1002"/>
        </w:numPr>
        <w:pStyle w:val="Compact"/>
      </w:pPr>
      <w:r>
        <w:rPr>
          <w:bCs/>
          <w:b/>
        </w:rPr>
        <w:t xml:space="preserve">Technology Adoption Acceleration</w:t>
      </w:r>
      <w:r>
        <w:t xml:space="preserve">: The Royal Malaysian Air Force's (RMAF) recent integration of AI-driven command systems in KL has created ripple effects for land and naval forces</w:t>
      </w:r>
    </w:p>
    <w:p>
      <w:pPr>
        <w:pStyle w:val="FirstParagraph"/>
      </w:pPr>
      <w:r>
        <w:t xml:space="preserve">This environment demanded our Sales Report framework evolve from generic product catalogs to military officer-centric value propositions. We implemented the "Commander's Dashboard" tool for KL-based officers, providing real-time analytics on equipment utilization—directly addressing concerns raised by RMAF Commanders during quarterly strategy sessions at the National Defence College in Kuala Lumpur.</w:t>
      </w:r>
    </w:p>
    <w:bookmarkEnd w:id="23"/>
    <w:bookmarkStart w:id="24" w:name="challenges-and-strategic-adaptations"/>
    <w:p>
      <w:pPr>
        <w:pStyle w:val="Heading3"/>
      </w:pPr>
      <w:r>
        <w:t xml:space="preserve">4. Challenges and Strategic Adaptations</w:t>
      </w:r>
    </w:p>
    <w:p>
      <w:pPr>
        <w:pStyle w:val="FirstParagraph"/>
      </w:pPr>
      <w:r>
        <w:t xml:space="preserve">Despite strong performance, we encountered three key challenges requiring officer-level engagement solutions:</w:t>
      </w:r>
    </w:p>
    <w:p>
      <w:pPr>
        <w:numPr>
          <w:ilvl w:val="0"/>
          <w:numId w:val="1003"/>
        </w:numPr>
        <w:pStyle w:val="Compact"/>
      </w:pPr>
      <w:r>
        <w:rPr>
          <w:iCs/>
          <w:i/>
        </w:rPr>
        <w:t xml:space="preserve">Compliance Complexity</w:t>
      </w:r>
      <w:r>
        <w:t xml:space="preserve">: MOD's new cybersecurity protocols required customized software integration for military officers' devices. Our KL technical team (including 2 former RMAF cyber officers) developed a compliance bridge solution, reducing implementation time by 40%.</w:t>
      </w:r>
    </w:p>
    <w:p>
      <w:pPr>
        <w:numPr>
          <w:ilvl w:val="0"/>
          <w:numId w:val="1003"/>
        </w:numPr>
        <w:pStyle w:val="Compact"/>
      </w:pPr>
      <w:r>
        <w:rPr>
          <w:iCs/>
          <w:i/>
        </w:rPr>
        <w:t xml:space="preserve">Inter-Service Coordination</w:t>
      </w:r>
      <w:r>
        <w:t xml:space="preserve">: Army/Naval/AF procurement silos delayed approvals. We established a dedicated "Joint Command Liaison" role for our KL sales officers to facilitate cross-service officer collaboration.</w:t>
      </w:r>
    </w:p>
    <w:p>
      <w:pPr>
        <w:numPr>
          <w:ilvl w:val="0"/>
          <w:numId w:val="1003"/>
        </w:numPr>
        <w:pStyle w:val="Compact"/>
      </w:pPr>
      <w:r>
        <w:rPr>
          <w:iCs/>
          <w:i/>
        </w:rPr>
        <w:t xml:space="preserve">Training Requirements</w:t>
      </w:r>
      <w:r>
        <w:t xml:space="preserve">: Officer adoption of new systems was initially low. Our solution: Mandatory interactive workshops at the Kuala Lumpur Defence Academy, featuring live demonstrations by current military officers using our equipment.</w:t>
      </w:r>
    </w:p>
    <w:bookmarkEnd w:id="24"/>
    <w:bookmarkStart w:id="25" w:name="X6f236800e025caad183863a304e5c2b14dff07e"/>
    <w:p>
      <w:pPr>
        <w:pStyle w:val="Heading3"/>
      </w:pPr>
      <w:r>
        <w:t xml:space="preserve">5. Future Outlook: Military Officer Partnership Strategy in Malaysia</w:t>
      </w:r>
    </w:p>
    <w:p>
      <w:pPr>
        <w:pStyle w:val="FirstParagraph"/>
      </w:pPr>
      <w:r>
        <w:t xml:space="preserve">Based on Q3 performance, we recommend three strategic priorities for continued growth in Malaysia Kuala Lumpur:</w:t>
      </w:r>
    </w:p>
    <w:p>
      <w:pPr>
        <w:numPr>
          <w:ilvl w:val="0"/>
          <w:numId w:val="1004"/>
        </w:numPr>
        <w:pStyle w:val="Compact"/>
      </w:pPr>
      <w:r>
        <w:rPr>
          <w:bCs/>
          <w:b/>
        </w:rPr>
        <w:t xml:space="preserve">Investment in KL-based Officer Training Centers</w:t>
      </w:r>
      <w:r>
        <w:t xml:space="preserve">: Co-developing advanced command simulation modules with the Malaysian Military Academy at KL. This aligns with MOD's "Future Commander 2030" initiative and directly positions GDS as a strategic partner for officer development.</w:t>
      </w:r>
    </w:p>
    <w:p>
      <w:pPr>
        <w:numPr>
          <w:ilvl w:val="0"/>
          <w:numId w:val="1004"/>
        </w:numPr>
        <w:pStyle w:val="Compact"/>
      </w:pPr>
      <w:r>
        <w:rPr>
          <w:bCs/>
          <w:b/>
        </w:rPr>
        <w:t xml:space="preserve">Expansion to Regional Command Hubs</w:t>
      </w:r>
      <w:r>
        <w:t xml:space="preserve">: Leveraging Kuala Lumpur's central role, we will establish mobile sales units targeting military officers at regional bases in Johor Bahru, Penang, and Kuching—where 63% of new procurement opportunities originate.</w:t>
      </w:r>
    </w:p>
    <w:p>
      <w:pPr>
        <w:numPr>
          <w:ilvl w:val="0"/>
          <w:numId w:val="1004"/>
        </w:numPr>
        <w:pStyle w:val="Compact"/>
      </w:pPr>
      <w:r>
        <w:rPr>
          <w:bCs/>
          <w:b/>
        </w:rPr>
        <w:t xml:space="preserve">AI-Powered Officer Advisory Platform</w:t>
      </w:r>
      <w:r>
        <w:t xml:space="preserve">: Launching "CommandLink," a predictive analytics tool for military officers to forecast equipment needs. The pilot program at Kuala Lumpur's Army HQ showed 28% faster procurement cycles in trials.</w:t>
      </w:r>
    </w:p>
    <w:bookmarkEnd w:id="25"/>
    <w:bookmarkStart w:id="26" w:name="X32b8f5556eabb59a2e2270cef435964ffdb5c62"/>
    <w:p>
      <w:pPr>
        <w:pStyle w:val="Heading3"/>
      </w:pPr>
      <w:r>
        <w:t xml:space="preserve">6. Conclusion: The Military Officer as Strategic Sales Catalyst</w:t>
      </w:r>
    </w:p>
    <w:p>
      <w:pPr>
        <w:pStyle w:val="FirstParagraph"/>
      </w:pPr>
      <w:r>
        <w:t xml:space="preserve">This Sales Report demonstrates that success in Malaysia Kuala Lumpur's defense market hinges on recognizing the military officer—not merely as a buyer, but as the central operational driver of procurement. Our Q3 results confirm that when sales strategies align with officer-level mission requirements (e.g., command efficiency metrics, tactical decision support), contract wins increase by 37% compared to traditional product-focused approaches.</w:t>
      </w:r>
    </w:p>
    <w:p>
      <w:pPr>
        <w:pStyle w:val="BodyText"/>
      </w:pPr>
      <w:r>
        <w:t xml:space="preserve">As Malaysia advances its defense modernization under the Kuala Lumpur-based National Defence Policy 2025, GDS remains positioned as the preferred partner for military officer solutions. The strategic shift toward officer-centric sales isn't merely a tactic—it's fundamental to winning contracts in this market. We recommend maintaining our current investment in KL-based military liaison officers (from 12 to 18 by Q1 2024) and embedding officer feedback directly into product development cycles.</w:t>
      </w:r>
    </w:p>
    <w:p>
      <w:pPr>
        <w:pStyle w:val="BodyText"/>
      </w:pPr>
      <w:r>
        <w:t xml:space="preserve">Final Note: All data presented is derived from direct engagement with Malaysian military officers at the Colonel rank and above, reflecting authentic operational requirements within Malaysia Kuala Lumpur's defense ecosystem. This Sales Report serves as a critical tool for our shared strategic objectives in enhancing Malaysia's national security posture through advanced officer-focused solutions.</w:t>
      </w:r>
    </w:p>
    <w:p>
      <w:r>
        <w:pict>
          <v:rect style="width:0;height:1.5pt" o:hralign="center" o:hrstd="t" o:hr="t"/>
        </w:pict>
      </w:r>
    </w:p>
    <w:p>
      <w:pPr>
        <w:pStyle w:val="FirstParagraph"/>
      </w:pPr>
      <w:r>
        <w:rPr>
          <w:bCs/>
          <w:b/>
        </w:rPr>
        <w:t xml:space="preserve">Global Defense Solutions (GDS) - Southeast Asia Division</w:t>
      </w:r>
      <w:r>
        <w:br/>
      </w:r>
      <w:r>
        <w:t xml:space="preserve">15th Floor, Menara GDS, Jalan Tun Razak, Kuala Lumpur 50400</w:t>
      </w:r>
      <w:r>
        <w:br/>
      </w:r>
      <w:r>
        <w:t xml:space="preserve">Tel: +603-2789-1234 | www.gds-defence.com.my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Officer Operations in Malaysia Kuala Lumpur</dc:title>
  <dc:creator/>
  <dc:language>en</dc:language>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