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Contracts</w:t>
      </w:r>
      <w:r>
        <w:t xml:space="preserve"> </w:t>
      </w:r>
      <w:r>
        <w:t xml:space="preserve">in</w:t>
      </w:r>
      <w:r>
        <w:t xml:space="preserve"> </w:t>
      </w:r>
      <w:r>
        <w:t xml:space="preserve">Russia</w:t>
      </w:r>
      <w:r>
        <w:t xml:space="preserve"> </w:t>
      </w:r>
      <w:r>
        <w:t xml:space="preserve">Moscow</w:t>
      </w:r>
    </w:p>
    <w:bookmarkStart w:id="27" w:name="X0809ccf9995420284e5636c0df576dd617360ca"/>
    <w:p>
      <w:pPr>
        <w:pStyle w:val="Heading1"/>
      </w:pPr>
      <w:r>
        <w:t xml:space="preserve">ANNUAL SALES REPORT: MILITARY EQUIPMENT CONTRACTS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Defense Sales Division</w:t>
      </w:r>
      <w:r>
        <w:br/>
      </w:r>
      <w:r>
        <w:rPr>
          <w:bCs/>
          <w:b/>
        </w:rPr>
        <w:t xml:space="preserve">Subject:</w:t>
      </w:r>
      <w:r>
        <w:t xml:space="preserve"> </w:t>
      </w:r>
      <w:r>
        <w:t xml:space="preserve">Strategic Military Equipment Sales Performance in Russia Moscow Market</w:t>
      </w:r>
    </w:p>
    <w:bookmarkStart w:id="20" w:name="i.-executive-summary"/>
    <w:p>
      <w:pPr>
        <w:pStyle w:val="Heading2"/>
      </w:pPr>
      <w:r>
        <w:t xml:space="preserve">I. Executive Summary</w:t>
      </w:r>
    </w:p>
    <w:p>
      <w:pPr>
        <w:pStyle w:val="FirstParagraph"/>
      </w:pPr>
      <w:r>
        <w:t xml:space="preserve">This comprehensive Sales Report details the performance of our military equipment sales portfolio within the Russian Federation, with primary focus on Moscow-based defense procurement channels. The reporting period spans January 1 to December 31, 2023, demonstrating a significant 18% year-over-year growth in contract value for military systems sold to Russian Armed Forces. This success was achieved through strategic engagement with key Military Officer stakeholders across the Ministry of Defense and tactical units stationed in Moscow. The Sales Report confirms Russia Moscow as our most critical market, accounting for 34% of global defense sales revenue this fiscal year.</w:t>
      </w:r>
    </w:p>
    <w:bookmarkEnd w:id="20"/>
    <w:bookmarkStart w:id="21" w:name="X0940b537da71c687177993c96aeb1c4ebce0707"/>
    <w:p>
      <w:pPr>
        <w:pStyle w:val="Heading2"/>
      </w:pPr>
      <w:r>
        <w:t xml:space="preserve">II. Strategic Context: Military Officer Engagement Framework</w:t>
      </w:r>
    </w:p>
    <w:p>
      <w:pPr>
        <w:pStyle w:val="FirstParagraph"/>
      </w:pPr>
      <w:r>
        <w:t xml:space="preserve">Central to our success has been the systematic cultivation of relationships with senior Military Officer decision-makers in Moscow. Our sales methodology prioritizes direct engagement with Defense Ministry procurement officers, including Colonel General Alexei Volkov (Deputy Chief of Procurement) and Brigadier General Irina Petrova (Technical Standards Director). These Military Officers provided critical insights into Russia's 2023 Modernization Plan, which directly informed our product portfolio adjustments. We implemented a dedicated Moscow-based Military Officer liaison team that reduced contract negotiation cycles by 42% through quarterly technical briefings at the Central Armed Forces Museum in Moscow.</w:t>
      </w:r>
      <w:r>
        <w:t xml:space="preserve"> </w:t>
      </w:r>
      <w:r>
        <w:t xml:space="preserve">The Sales Report emphasizes that every major contract—ranging from the S-500 air defense systems to tactical UAV platforms—required formal approval from at least two Military Officers within the procurement hierarchy. This process necessitated tailored demonstration protocols validated by Russian military standards (GOST R 54278-2018), which our Moscow office fully integrated into sales workflows. The Military Officer requirement for indigenous component integration led to a 37% increase in local content partnerships with Moscow-based manufacturers.</w:t>
      </w:r>
    </w:p>
    <w:bookmarkEnd w:id="21"/>
    <w:bookmarkStart w:id="22" w:name="X8c76caa247f32608f73aaa216cf98f3a1eea118"/>
    <w:p>
      <w:pPr>
        <w:pStyle w:val="Heading2"/>
      </w:pPr>
      <w:r>
        <w:t xml:space="preserve">III. Russia Moscow Market Performance Analysis</w:t>
      </w:r>
    </w:p>
    <w:p>
      <w:pPr>
        <w:pStyle w:val="FirstParagraph"/>
      </w:pPr>
      <w:r>
        <w:t xml:space="preserve">The Russia Moscow market delivered unprecedented results, generating $1.87 billion in new contracts—$450 million above our annual target. This achievement is particularly notable given geopolitical constraints and export control regulations affecting defense sales globally. Our Moscow office executed 12 major contracts with the Russian Ministry of Defense, including:</w:t>
      </w:r>
    </w:p>
    <w:p>
      <w:pPr>
        <w:numPr>
          <w:ilvl w:val="0"/>
          <w:numId w:val="1001"/>
        </w:numPr>
        <w:pStyle w:val="Compact"/>
      </w:pPr>
      <w:r>
        <w:rPr>
          <w:bCs/>
          <w:b/>
        </w:rPr>
        <w:t xml:space="preserve">S-500 Prometey Systems:</w:t>
      </w:r>
      <w:r>
        <w:t xml:space="preserve"> </w:t>
      </w:r>
      <w:r>
        <w:t xml:space="preserve">$680 million contract for air defense units near Moscow (signed May 2023)</w:t>
      </w:r>
    </w:p>
    <w:p>
      <w:pPr>
        <w:numPr>
          <w:ilvl w:val="0"/>
          <w:numId w:val="1001"/>
        </w:numPr>
        <w:pStyle w:val="Compact"/>
      </w:pPr>
      <w:r>
        <w:rPr>
          <w:bCs/>
          <w:b/>
        </w:rPr>
        <w:t xml:space="preserve">Vityaz-T Tactical Drones:</w:t>
      </w:r>
      <w:r>
        <w:t xml:space="preserve"> </w:t>
      </w:r>
      <w:r>
        <w:t xml:space="preserve">$315 million deal for reconnaissance units (finalized August 2023)</w:t>
      </w:r>
    </w:p>
    <w:p>
      <w:pPr>
        <w:numPr>
          <w:ilvl w:val="0"/>
          <w:numId w:val="1001"/>
        </w:numPr>
        <w:pStyle w:val="Compact"/>
      </w:pPr>
      <w:r>
        <w:rPr>
          <w:bCs/>
          <w:b/>
        </w:rPr>
        <w:t xml:space="preserve">Akatsiya Electronic Warfare Suite:</w:t>
      </w:r>
      <w:r>
        <w:t xml:space="preserve"> </w:t>
      </w:r>
      <w:r>
        <w:t xml:space="preserve">$297 million contract for Moscow Military District</w:t>
      </w:r>
    </w:p>
    <w:p>
      <w:pPr>
        <w:pStyle w:val="FirstParagraph"/>
      </w:pPr>
      <w:r>
        <w:t xml:space="preserve">The Sales Report attributes this success to three key factors specific to Russia Moscow:</w:t>
      </w:r>
    </w:p>
    <w:p>
      <w:pPr>
        <w:numPr>
          <w:ilvl w:val="0"/>
          <w:numId w:val="1002"/>
        </w:numPr>
        <w:pStyle w:val="Compact"/>
      </w:pPr>
      <w:r>
        <w:rPr>
          <w:iCs/>
          <w:i/>
        </w:rPr>
        <w:t xml:space="preserve">Localized Support Infrastructure:</w:t>
      </w:r>
      <w:r>
        <w:t xml:space="preserve"> </w:t>
      </w:r>
      <w:r>
        <w:t xml:space="preserve">Establishment of a 24/7 technical hub at the Krasnogorsk Defense Complex, staffed by Russian-speaking engineers and directly managed by our Moscow-based Military Officer liaison team.</w:t>
      </w:r>
    </w:p>
    <w:p>
      <w:pPr>
        <w:numPr>
          <w:ilvl w:val="0"/>
          <w:numId w:val="1002"/>
        </w:numPr>
        <w:pStyle w:val="Compact"/>
      </w:pPr>
      <w:r>
        <w:rPr>
          <w:iCs/>
          <w:i/>
        </w:rPr>
        <w:t xml:space="preserve">Compliance Integration:</w:t>
      </w:r>
      <w:r>
        <w:t xml:space="preserve"> </w:t>
      </w:r>
      <w:r>
        <w:t xml:space="preserve">Full alignment with Russia's Federal Law No. 308-FZ (2023) governing military sales, verified through quarterly audits conducted by Moscow's Ministry of Defense Compliance Directorate.</w:t>
      </w:r>
    </w:p>
    <w:p>
      <w:pPr>
        <w:numPr>
          <w:ilvl w:val="0"/>
          <w:numId w:val="1002"/>
        </w:numPr>
        <w:pStyle w:val="Compact"/>
      </w:pPr>
      <w:r>
        <w:rPr>
          <w:iCs/>
          <w:i/>
        </w:rPr>
        <w:t xml:space="preserve">Military-Driven Product Adaptation:</w:t>
      </w:r>
      <w:r>
        <w:t xml:space="preserve"> </w:t>
      </w:r>
      <w:r>
        <w:t xml:space="preserve">Co-development of the "Moscow Shield" electronic countermeasure system with Military Officer feedback from the 1st Guards Tank Army during joint field trials at Kubinka Testing Grounds.</w:t>
      </w:r>
    </w:p>
    <w:bookmarkEnd w:id="22"/>
    <w:bookmarkStart w:id="23" w:name="X000f7b639926d3bd4f02ceff074dbc528c60403"/>
    <w:p>
      <w:pPr>
        <w:pStyle w:val="Heading2"/>
      </w:pPr>
      <w:r>
        <w:t xml:space="preserve">IV. Military Officer Training &amp; Partnership Initiatives</w:t>
      </w:r>
    </w:p>
    <w:p>
      <w:pPr>
        <w:pStyle w:val="FirstParagraph"/>
      </w:pPr>
      <w:r>
        <w:t xml:space="preserve">A cornerstone of our Russia Moscow strategy has been collaborative training programs for Russian military personnel. Our Sales Report documents a 157% increase in Military Officer participation at the Advanced Weapons Systems Academy in Moscow, where we conducted 32 specialized workshops on next-generation equipment maintenance. These sessions included:</w:t>
      </w:r>
    </w:p>
    <w:p>
      <w:pPr>
        <w:numPr>
          <w:ilvl w:val="0"/>
          <w:numId w:val="1003"/>
        </w:numPr>
        <w:pStyle w:val="Compact"/>
      </w:pPr>
      <w:r>
        <w:t xml:space="preserve">8 workshops on S-500 system diagnostics (attended by 147 Military Officers)</w:t>
      </w:r>
    </w:p>
    <w:p>
      <w:pPr>
        <w:numPr>
          <w:ilvl w:val="0"/>
          <w:numId w:val="1003"/>
        </w:numPr>
        <w:pStyle w:val="Compact"/>
      </w:pPr>
      <w:r>
        <w:t xml:space="preserve">5 joint exercises simulating electronic warfare scenarios with Moscow's 6th Air Defense Division</w:t>
      </w:r>
    </w:p>
    <w:p>
      <w:pPr>
        <w:pStyle w:val="FirstParagraph"/>
      </w:pPr>
      <w:r>
        <w:t xml:space="preserve">The Sales Report highlights that this initiative directly contributed to a 29% reduction in post-sale technical support requests. Crucially, we established the first-ever "Military Officer Ambassador Program" in Russia Moscow, where senior Russian officers serve as product advocates within their units. Brigadier General Nikolai Semyonov (Commander of Moscow Air Defense Forces) became our program's inaugural ambassador after successfully deploying Vityaz-T drones during the 2023 Zapad exercises.</w:t>
      </w:r>
    </w:p>
    <w:bookmarkEnd w:id="23"/>
    <w:bookmarkStart w:id="24" w:name="X7905550cd8fb27676d928d64186429b4574762f"/>
    <w:p>
      <w:pPr>
        <w:pStyle w:val="Heading2"/>
      </w:pPr>
      <w:r>
        <w:t xml:space="preserve">V. Market Challenges &amp; Mitigation Strategies</w:t>
      </w:r>
    </w:p>
    <w:p>
      <w:pPr>
        <w:pStyle w:val="FirstParagraph"/>
      </w:pPr>
      <w:r>
        <w:t xml:space="preserve">Despite strong performance, the Sales Report identifies two critical challenges specific to Russia Moscow operations:</w:t>
      </w:r>
    </w:p>
    <w:p>
      <w:pPr>
        <w:numPr>
          <w:ilvl w:val="0"/>
          <w:numId w:val="1004"/>
        </w:numPr>
        <w:pStyle w:val="Compact"/>
      </w:pPr>
      <w:r>
        <w:rPr>
          <w:iCs/>
          <w:i/>
        </w:rPr>
        <w:t xml:space="preserve">Geopolitical Sanctions Impact:</w:t>
      </w:r>
      <w:r>
        <w:t xml:space="preserve"> </w:t>
      </w:r>
      <w:r>
        <w:t xml:space="preserve">The 2023 sanctions package necessitated $118 million in re-engineering costs for equipment meeting Russian technical standards. Our Moscow office developed a "sanction-resilient supply chain" using domestic component sourcing, avoiding 97% of potential disruption risks.</w:t>
      </w:r>
    </w:p>
    <w:p>
      <w:pPr>
        <w:numPr>
          <w:ilvl w:val="0"/>
          <w:numId w:val="1004"/>
        </w:numPr>
        <w:pStyle w:val="Compact"/>
      </w:pPr>
      <w:r>
        <w:rPr>
          <w:iCs/>
          <w:i/>
        </w:rPr>
        <w:t xml:space="preserve">Military Officer Turnover:</w:t>
      </w:r>
      <w:r>
        <w:t xml:space="preserve"> </w:t>
      </w:r>
      <w:r>
        <w:t xml:space="preserve">High attrition rates among procurement officers required our Sales Report to implement a rapid succession protocol with documented knowledge transfers. We now maintain a database of 210 active Military Officer relationships with bi-annual engagement tracking.</w:t>
      </w:r>
    </w:p>
    <w:p>
      <w:pPr>
        <w:pStyle w:val="FirstParagraph"/>
      </w:pPr>
      <w:r>
        <w:t xml:space="preserve">The mitigation strategy involved establishing the Moscow Military Partnership Council—a quarterly forum where we present technology roadmaps directly to senior Military Officers. This council facilitated the $45 million "Project Phoenix" contract for upgraded communications systems, bypassing bureaucratic delays.</w:t>
      </w:r>
    </w:p>
    <w:bookmarkEnd w:id="24"/>
    <w:bookmarkStart w:id="25" w:name="X6e031b4e09b35aa2dc2c3dd6e5a1bdbad6434fe"/>
    <w:p>
      <w:pPr>
        <w:pStyle w:val="Heading2"/>
      </w:pPr>
      <w:r>
        <w:t xml:space="preserve">VI. Future Outlook &amp; Strategic Recommendations</w:t>
      </w:r>
    </w:p>
    <w:p>
      <w:pPr>
        <w:pStyle w:val="FirstParagraph"/>
      </w:pPr>
      <w:r>
        <w:t xml:space="preserve">Based on current momentum in Russia Moscow, our Sales Report projects 20% revenue growth for 2024 with these priorities:</w:t>
      </w:r>
    </w:p>
    <w:p>
      <w:pPr>
        <w:numPr>
          <w:ilvl w:val="0"/>
          <w:numId w:val="1005"/>
        </w:numPr>
        <w:pStyle w:val="Compact"/>
      </w:pPr>
      <w:r>
        <w:rPr>
          <w:iCs/>
          <w:i/>
        </w:rPr>
        <w:t xml:space="preserve">Military Officer Deepening:</w:t>
      </w:r>
      <w:r>
        <w:t xml:space="preserve"> </w:t>
      </w:r>
      <w:r>
        <w:t xml:space="preserve">Expand the Ambassador Program to include 50+ Military Officers across all Moscow military districts by Q3 2024</w:t>
      </w:r>
    </w:p>
    <w:p>
      <w:pPr>
        <w:numPr>
          <w:ilvl w:val="0"/>
          <w:numId w:val="1005"/>
        </w:numPr>
        <w:pStyle w:val="Compact"/>
      </w:pPr>
      <w:r>
        <w:rPr>
          <w:iCs/>
          <w:i/>
        </w:rPr>
        <w:t xml:space="preserve">Localization Drive:</w:t>
      </w:r>
      <w:r>
        <w:t xml:space="preserve"> </w:t>
      </w:r>
      <w:r>
        <w:t xml:space="preserve">Establish a joint venture with Moscow-based Kuznetsov Design Bureau for co-producing next-generation UAV components</w:t>
      </w:r>
    </w:p>
    <w:p>
      <w:pPr>
        <w:pStyle w:val="FirstParagraph"/>
      </w:pPr>
      <w:r>
        <w:t xml:space="preserve">The Sales Report concludes that Russia Moscow remains our flagship market due to its strategic importance in global defense dynamics. We recommend maintaining the current Moscow-based Military Officer engagement model as our global standard, with a projected $2.4 billion contract pipeline for 2024. This requires doubling down on localized partnerships and reinforcing our presence within Russia's military decision-making ecosystem.</w:t>
      </w:r>
    </w:p>
    <w:bookmarkEnd w:id="25"/>
    <w:bookmarkStart w:id="26" w:name="vii.-conclusion"/>
    <w:p>
      <w:pPr>
        <w:pStyle w:val="Heading2"/>
      </w:pPr>
      <w:r>
        <w:t xml:space="preserve">VII. Conclusion</w:t>
      </w:r>
    </w:p>
    <w:p>
      <w:pPr>
        <w:pStyle w:val="FirstParagraph"/>
      </w:pPr>
      <w:r>
        <w:t xml:space="preserve">This Sales Report underscores that success in the Russia Moscow defense market is intrinsically linked to understanding the Military Officer ecosystem—a reality confirmed by our 87% contract retention rate with key personnel. The strategic focus on building enduring relationships with Russian military leadership has transformed our sales approach from transactional to partnership-driven. As we navigate complex global dynamics, the Russia Moscow market demonstrates that authentic engagement with Military Officers—not just procurement processes—creates sustainable competitive advantage.</w:t>
      </w:r>
      <w:r>
        <w:t xml:space="preserve"> </w:t>
      </w:r>
      <w:r>
        <w:t xml:space="preserve">Our commitment to this market is unwavering: We will continue investing in Moscow infrastructure, deepening Military Officer relationships, and adapting our product suite to meet Russia's evolving defense needs. The Sales Report affirms that our Russia Moscow strategy is not merely profitable—it's foundational to the future of global defense sales.</w:t>
      </w:r>
    </w:p>
    <w:p>
      <w:pPr>
        <w:pStyle w:val="BodyText"/>
      </w:pPr>
      <w:r>
        <w:rPr>
          <w:bCs/>
          <w:b/>
        </w:rPr>
        <w:t xml:space="preserve">Prepared by:</w:t>
      </w:r>
      <w:r>
        <w:t xml:space="preserve"> </w:t>
      </w:r>
      <w:r>
        <w:t xml:space="preserve">Elena Volkova</w:t>
      </w:r>
      <w:r>
        <w:br/>
      </w:r>
      <w:r>
        <w:t xml:space="preserve">Director of International Defense Sales</w:t>
      </w:r>
      <w:r>
        <w:br/>
      </w:r>
      <w:r>
        <w:t xml:space="preserve">Global Military Solutions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Military Equipment Contracts in Russia Moscow</dc:title>
  <dc:creator/>
  <dc:language>en</dc:language>
  <cp:keywords/>
  <dcterms:created xsi:type="dcterms:W3CDTF">2026-07-24T01:18:43Z</dcterms:created>
  <dcterms:modified xsi:type="dcterms:W3CDTF">2026-07-24T01:18:43Z</dcterms:modified>
</cp:coreProperties>
</file>

<file path=docProps/custom.xml><?xml version="1.0" encoding="utf-8"?>
<Properties xmlns="http://schemas.openxmlformats.org/officeDocument/2006/custom-properties" xmlns:vt="http://schemas.openxmlformats.org/officeDocument/2006/docPropsVTypes"/>
</file>