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Performance</w:t>
      </w:r>
    </w:p>
    <w:bookmarkStart w:id="30" w:name="Xa9086ec5b3dcb1c0f2955c77df218c5a6a54dcd"/>
    <w:p>
      <w:pPr>
        <w:pStyle w:val="Heading1"/>
      </w:pPr>
      <w:r>
        <w:t xml:space="preserve">Sales Report: Comprehensive Analysis of Musician Revenue Streams in Chile Santiago (Q3 2023)</w:t>
      </w:r>
    </w:p>
    <w:bookmarkStart w:id="20" w:name="executive-summary"/>
    <w:p>
      <w:pPr>
        <w:pStyle w:val="Heading2"/>
      </w:pPr>
      <w:r>
        <w:t xml:space="preserve">Executive Summary</w:t>
      </w:r>
    </w:p>
    <w:p>
      <w:pPr>
        <w:pStyle w:val="FirstParagraph"/>
      </w:pPr>
      <w:r>
        <w:t xml:space="preserve">This Sales Report presents a detailed analysis of revenue performance for an independent musician operating within the vibrant cultural ecosystem of Chile Santiago. Covering the period from July 1st to September 30, 2023, this document examines key metrics including ticket sales, merchandise revenue, digital streaming analytics, and emerging market opportunities specifically tailored to Chile Santiago's unique music landscape. The report confirms a remarkable 37% year-over-year growth in total revenue, driven by strategic localization efforts and deepening community engagement within the Santiago music scene.</w:t>
      </w:r>
    </w:p>
    <w:bookmarkEnd w:id="20"/>
    <w:bookmarkStart w:id="21" w:name="Xf0a3852fd4564e16827737fe116cd97d496c3bc"/>
    <w:p>
      <w:pPr>
        <w:pStyle w:val="Heading2"/>
      </w:pPr>
      <w:r>
        <w:t xml:space="preserve">Market Context: Chile Santiago as a Music Hub</w:t>
      </w:r>
    </w:p>
    <w:p>
      <w:pPr>
        <w:pStyle w:val="FirstParagraph"/>
      </w:pPr>
      <w:r>
        <w:t xml:space="preserve">Chile Santiago stands as the undisputed epicenter of Latin American music commerce, hosting 68% of all major concerts in Chile and generating over $45 million annually in live music revenue. The city's distinct cultural blend—merging traditional Andean influences with contemporary global sounds—creates fertile ground for innovative musicians. Our analysis confirms that Santiago's audience demonstrates exceptional loyalty to local artists, with 73% of concert attendees identifying as repeat customers from previous shows within the same venue district (Lastarria, Providencia, and Bellavista neighborhoods). This report underscores how our Musician successfully navigated Santiago's nuanced market dynamics through culturally resonant programming and strategic partnerships.</w:t>
      </w:r>
    </w:p>
    <w:bookmarkEnd w:id="21"/>
    <w:bookmarkStart w:id="24" w:name="revenue-performance-breakdown"/>
    <w:p>
      <w:pPr>
        <w:pStyle w:val="Heading2"/>
      </w:pPr>
      <w:r>
        <w:t xml:space="preserve">Revenue Performance Breakdown</w:t>
      </w:r>
    </w:p>
    <w:bookmarkStart w:id="22" w:name="ticket-sales-concerts-events"/>
    <w:p>
      <w:pPr>
        <w:pStyle w:val="Heading3"/>
      </w:pPr>
      <w:r>
        <w:t xml:space="preserve">Ticket Sales: Concerts &amp; Events</w:t>
      </w:r>
    </w:p>
    <w:p>
      <w:pPr>
        <w:pStyle w:val="FirstParagraph"/>
      </w:pPr>
      <w:r>
        <w:t xml:space="preserve">Total ticket revenue reached $89,450 across 12 sold-out shows at Santiago venues including Teatro Municipal and Movistar Arena. Key drivers included:</w:t>
      </w:r>
    </w:p>
    <w:p>
      <w:pPr>
        <w:numPr>
          <w:ilvl w:val="0"/>
          <w:numId w:val="1001"/>
        </w:numPr>
        <w:pStyle w:val="Compact"/>
      </w:pPr>
      <w:r>
        <w:rPr>
          <w:bCs/>
          <w:b/>
        </w:rPr>
        <w:t xml:space="preserve">Local Community Integration:</w:t>
      </w:r>
      <w:r>
        <w:t xml:space="preserve"> </w:t>
      </w:r>
      <w:r>
        <w:t xml:space="preserve">65% of tickets sold through neighborhood partnerships with Santiago cultural centers (e.g., Centro Cultural Gabriela Mistral), creating exclusive early-bird access for community members</w:t>
      </w:r>
    </w:p>
    <w:p>
      <w:pPr>
        <w:numPr>
          <w:ilvl w:val="0"/>
          <w:numId w:val="1001"/>
        </w:numPr>
        <w:pStyle w:val="Compact"/>
      </w:pPr>
      <w:r>
        <w:rPr>
          <w:bCs/>
          <w:b/>
        </w:rPr>
        <w:t xml:space="preserve">Pricing Strategy:</w:t>
      </w:r>
      <w:r>
        <w:t xml:space="preserve"> </w:t>
      </w:r>
      <w:r>
        <w:t xml:space="preserve">Tiered pricing aligned with Santiago's economic realities: $12–$35 standard, with 40% of tickets sold at premium rates ($30+), exceeding regional averages by 22%</w:t>
      </w:r>
    </w:p>
    <w:p>
      <w:pPr>
        <w:numPr>
          <w:ilvl w:val="0"/>
          <w:numId w:val="1001"/>
        </w:numPr>
        <w:pStyle w:val="Compact"/>
      </w:pPr>
      <w:r>
        <w:rPr>
          <w:bCs/>
          <w:b/>
        </w:rPr>
        <w:t xml:space="preserve">Collaborative Events:</w:t>
      </w:r>
      <w:r>
        <w:t xml:space="preserve"> </w:t>
      </w:r>
      <w:r>
        <w:t xml:space="preserve">Joint concerts with established Chilean artists (e.g., Lila Downs, Mon Laferte) driving 38% of ticket revenue through cross-promotion</w:t>
      </w:r>
    </w:p>
    <w:bookmarkEnd w:id="22"/>
    <w:bookmarkStart w:id="23" w:name="digital-merchandise-sales"/>
    <w:p>
      <w:pPr>
        <w:pStyle w:val="Heading3"/>
      </w:pPr>
      <w:r>
        <w:t xml:space="preserve">Digital &amp; Merchandise Sales</w:t>
      </w:r>
    </w:p>
    <w:p>
      <w:pPr>
        <w:pStyle w:val="FirstParagraph"/>
      </w:pPr>
      <w:r>
        <w:t xml:space="preserve">Digital streams generated $21,600 from platforms like Spotify and Deezer (a 54% YoY increase), while physical merchandise sales totaled $47,800—surpassing Santiago's average by 28%. Critical success factors included:</w:t>
      </w:r>
    </w:p>
    <w:p>
      <w:pPr>
        <w:numPr>
          <w:ilvl w:val="0"/>
          <w:numId w:val="1002"/>
        </w:numPr>
        <w:pStyle w:val="Compact"/>
      </w:pPr>
      <w:r>
        <w:rPr>
          <w:bCs/>
          <w:b/>
        </w:rPr>
        <w:t xml:space="preserve">Localized Merchandise:</w:t>
      </w:r>
      <w:r>
        <w:t xml:space="preserve"> </w:t>
      </w:r>
      <w:r>
        <w:t xml:space="preserve">Exclusive designs incorporating Chilean symbols (e.g., Mapuche patterns, Andean motifs) that resonated deeply with Santiago buyers</w:t>
      </w:r>
    </w:p>
    <w:p>
      <w:pPr>
        <w:numPr>
          <w:ilvl w:val="0"/>
          <w:numId w:val="1002"/>
        </w:numPr>
        <w:pStyle w:val="Compact"/>
      </w:pPr>
      <w:r>
        <w:rPr>
          <w:bCs/>
          <w:b/>
        </w:rPr>
        <w:t xml:space="preserve">Santiago-Specific Promotions:</w:t>
      </w:r>
      <w:r>
        <w:t xml:space="preserve"> </w:t>
      </w:r>
      <w:r>
        <w:t xml:space="preserve">"Santiago Fan Club" membership offering free entry to the next show upon purchasing $50+ in merchandise—a strategy capturing 23% of all merchandise sales</w:t>
      </w:r>
    </w:p>
    <w:p>
      <w:pPr>
        <w:numPr>
          <w:ilvl w:val="0"/>
          <w:numId w:val="1002"/>
        </w:numPr>
        <w:pStyle w:val="Compact"/>
      </w:pPr>
      <w:r>
        <w:rPr>
          <w:bCs/>
          <w:b/>
        </w:rPr>
        <w:t xml:space="preserve">Instagram Engagement:</w:t>
      </w:r>
      <w:r>
        <w:t xml:space="preserve"> </w:t>
      </w:r>
      <w:r>
        <w:t xml:space="preserve">78% of digital sales came from users tagged in Santiago locations (e.g., Parque Metropolitano, La Moneda), proving location-based marketing effectiveness</w:t>
      </w:r>
    </w:p>
    <w:bookmarkEnd w:id="23"/>
    <w:bookmarkEnd w:id="24"/>
    <w:bookmarkStart w:id="25" w:name="chile-santiago-market-trends-analysis"/>
    <w:p>
      <w:pPr>
        <w:pStyle w:val="Heading2"/>
      </w:pPr>
      <w:r>
        <w:t xml:space="preserve">Chile Santiago Market Trends Analysis</w:t>
      </w:r>
    </w:p>
    <w:p>
      <w:pPr>
        <w:pStyle w:val="FirstParagraph"/>
      </w:pPr>
      <w:r>
        <w:t xml:space="preserve">Our Musician's performance aligns with three pivotal trends shaping Chile Santiago's music economy:</w:t>
      </w:r>
    </w:p>
    <w:p>
      <w:pPr>
        <w:numPr>
          <w:ilvl w:val="0"/>
          <w:numId w:val="1003"/>
        </w:numPr>
        <w:pStyle w:val="Compact"/>
      </w:pPr>
      <w:r>
        <w:rPr>
          <w:bCs/>
          <w:b/>
        </w:rPr>
        <w:t xml:space="preserve">Rise of Neighborhood Cultural Economies:</w:t>
      </w:r>
      <w:r>
        <w:t xml:space="preserve"> </w:t>
      </w:r>
      <w:r>
        <w:t xml:space="preserve">Santiago neighborhoods increasingly function as micro-markets. Our Musician secured 65% of revenue from within a 3km radius of downtown, demonstrating that hyper-localized outreach (e.g., pop-up performances in Santiago's Barrio Lastarria) generates superior ROI compared to city-wide campaigns.</w:t>
      </w:r>
    </w:p>
    <w:p>
      <w:pPr>
        <w:numPr>
          <w:ilvl w:val="0"/>
          <w:numId w:val="1003"/>
        </w:numPr>
        <w:pStyle w:val="Compact"/>
      </w:pPr>
      <w:r>
        <w:rPr>
          <w:bCs/>
          <w:b/>
        </w:rPr>
        <w:t xml:space="preserve">Streaming-Driven Ticket Sales:</w:t>
      </w:r>
      <w:r>
        <w:t xml:space="preserve"> </w:t>
      </w:r>
      <w:r>
        <w:t xml:space="preserve">Data shows 61% of Santiago concertgoers discovered our Musician through streaming platforms, with Spotify "Discover Weekly" playlists driving 34% of ticket sales. This validates targeted digital marketing in Chile's $95M streaming market.</w:t>
      </w:r>
    </w:p>
    <w:p>
      <w:pPr>
        <w:numPr>
          <w:ilvl w:val="0"/>
          <w:numId w:val="1003"/>
        </w:numPr>
        <w:pStyle w:val="Compact"/>
      </w:pPr>
      <w:r>
        <w:rPr>
          <w:bCs/>
          <w:b/>
        </w:rPr>
        <w:t xml:space="preserve">Government-Backed Cultural Support:</w:t>
      </w:r>
      <w:r>
        <w:t xml:space="preserve"> </w:t>
      </w:r>
      <w:r>
        <w:t xml:space="preserve">Leveraging Chile's new "Cultura Viva" initiative (funding for local artist events), our Musician secured 3 grants totaling $12,000—directly enabling 4 Santiago community shows with free admission.</w:t>
      </w:r>
    </w:p>
    <w:bookmarkEnd w:id="25"/>
    <w:bookmarkStart w:id="26" w:name="X2b2dddb65a74b0f1e38fb7da9a8040638b422af"/>
    <w:p>
      <w:pPr>
        <w:pStyle w:val="Heading2"/>
      </w:pPr>
      <w:r>
        <w:t xml:space="preserve">Customer Insights: Santiago Audience Profile</w:t>
      </w:r>
    </w:p>
    <w:p>
      <w:pPr>
        <w:pStyle w:val="FirstParagraph"/>
      </w:pPr>
      <w:r>
        <w:t xml:space="preserve">Santiago demographic data reveals a distinct audience profile: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Demographic</w:t>
            </w:r>
          </w:p>
        </w:tc>
        <w:tc>
          <w:tcPr/>
          <w:p>
            <w:pPr>
              <w:pStyle w:val="Compact"/>
              <w:jc w:val="left"/>
            </w:pPr>
            <w:r>
              <w:t xml:space="preserve">Percentage</w:t>
            </w:r>
          </w:p>
        </w:tc>
        <w:tc>
          <w:tcPr/>
          <w:p>
            <w:pPr>
              <w:pStyle w:val="Compact"/>
              <w:jc w:val="left"/>
            </w:pPr>
            <w:r>
              <w:t xml:space="preserve">Key Insight</w:t>
            </w:r>
          </w:p>
        </w:tc>
      </w:tr>
      <w:tr>
        <w:tc>
          <w:tcPr/>
          <w:p>
            <w:pPr>
              <w:pStyle w:val="Compact"/>
              <w:jc w:val="left"/>
            </w:pPr>
            <w:r>
              <w:t xml:space="preserve">Ages 18–34 (Primary Market)</w:t>
            </w:r>
          </w:p>
        </w:tc>
        <w:tc>
          <w:tcPr/>
          <w:p>
            <w:pPr>
              <w:pStyle w:val="Compact"/>
              <w:jc w:val="left"/>
            </w:pPr>
            <w:r>
              <w:t xml:space="preserve">68%</w:t>
            </w:r>
          </w:p>
        </w:tc>
        <w:tc>
          <w:tcPr/>
          <w:p>
            <w:pPr>
              <w:pStyle w:val="Compact"/>
              <w:jc w:val="left"/>
            </w:pPr>
            <w:r>
              <w:t xml:space="preserve">Demonstrates strong preference for Instagram-driven engagement over email marketing</w:t>
            </w:r>
          </w:p>
        </w:tc>
      </w:tr>
      <w:tr>
        <w:tc>
          <w:tcPr/>
          <w:p>
            <w:pPr>
              <w:pStyle w:val="Compact"/>
              <w:jc w:val="left"/>
            </w:pPr>
            <w:r>
              <w:t xml:space="preserve">Income Tier: $200–$500/month</w:t>
            </w:r>
          </w:p>
        </w:tc>
        <w:tc>
          <w:tcPr/>
          <w:p>
            <w:pPr>
              <w:pStyle w:val="Compact"/>
              <w:jc w:val="left"/>
            </w:pPr>
            <w:r>
              <w:t xml:space="preserve">51%</w:t>
            </w:r>
          </w:p>
        </w:tc>
        <w:tc>
          <w:tcPr/>
          <w:p>
            <w:pPr>
              <w:pStyle w:val="Compact"/>
              <w:jc w:val="left"/>
            </w:pPr>
            <w:r>
              <w:t xml:space="preserve">Santiago's median income segment; highly responsive to tiered pricing and merchandise bundles</w:t>
            </w:r>
          </w:p>
        </w:tc>
      </w:tr>
      <w:tr>
        <w:tc>
          <w:tcPr/>
          <w:p>
            <w:pPr>
              <w:pStyle w:val="Compact"/>
              <w:jc w:val="left"/>
            </w:pPr>
            <w:r>
              <w:t xml:space="preserve">Repeat Attendees (3+ shows)</w:t>
            </w:r>
          </w:p>
        </w:tc>
        <w:tc>
          <w:tcPr/>
          <w:p>
            <w:pPr>
              <w:pStyle w:val="Compact"/>
              <w:jc w:val="left"/>
            </w:pPr>
            <w:r>
              <w:t xml:space="preserve">44%</w:t>
            </w:r>
          </w:p>
        </w:tc>
        <w:tc>
          <w:tcPr/>
          <w:p>
            <w:pPr>
              <w:pStyle w:val="Compact"/>
              <w:jc w:val="left"/>
            </w:pPr>
            <w:r>
              <w:t xml:space="preserve">Tied to Santiago-based fan clubs, indicating community loyalty is critical for retention</w:t>
            </w:r>
          </w:p>
        </w:tc>
      </w:tr>
    </w:tbl>
    <w:bookmarkEnd w:id="26"/>
    <w:bookmarkStart w:id="27" w:name="challenges-in-chile-santiagos-market"/>
    <w:p>
      <w:pPr>
        <w:pStyle w:val="Heading2"/>
      </w:pPr>
      <w:r>
        <w:t xml:space="preserve">Challenges in Chile Santiago's Market</w:t>
      </w:r>
    </w:p>
    <w:p>
      <w:pPr>
        <w:pStyle w:val="FirstParagraph"/>
      </w:pPr>
      <w:r>
        <w:t xml:space="preserve">Despite strong performance, three challenges require strategic attention:</w:t>
      </w:r>
    </w:p>
    <w:p>
      <w:pPr>
        <w:numPr>
          <w:ilvl w:val="0"/>
          <w:numId w:val="1004"/>
        </w:numPr>
        <w:pStyle w:val="Compact"/>
      </w:pPr>
      <w:r>
        <w:rPr>
          <w:bCs/>
          <w:b/>
        </w:rPr>
        <w:t xml:space="preserve">Logistical Complexities:</w:t>
      </w:r>
      <w:r>
        <w:t xml:space="preserve"> </w:t>
      </w:r>
      <w:r>
        <w:t xml:space="preserve">Santiago's traffic congestion and venue availability constraints increased event costs by 18% versus other Latin cities. Solution: Partnering with city transit for free shuttle services to venues reduced no-shows by 27%.</w:t>
      </w:r>
    </w:p>
    <w:p>
      <w:pPr>
        <w:numPr>
          <w:ilvl w:val="0"/>
          <w:numId w:val="1004"/>
        </w:numPr>
        <w:pStyle w:val="Compact"/>
      </w:pPr>
      <w:r>
        <w:rPr>
          <w:bCs/>
          <w:b/>
        </w:rPr>
        <w:t xml:space="preserve">Cultural Misalignment Risk:</w:t>
      </w:r>
      <w:r>
        <w:t xml:space="preserve"> </w:t>
      </w:r>
      <w:r>
        <w:t xml:space="preserve">Initial Spanish-language album releases lacked regional slang, reducing connective power. Corrective action: Collaborated with Santiago-based lyricists for culturally nuanced re-records (boosting digital engagement by 41%).</w:t>
      </w:r>
    </w:p>
    <w:bookmarkEnd w:id="27"/>
    <w:bookmarkStart w:id="28" w:name="Xc5c7eb51a2698651074e36263db0441d6e3c170"/>
    <w:p>
      <w:pPr>
        <w:pStyle w:val="Heading2"/>
      </w:pPr>
      <w:r>
        <w:t xml:space="preserve">Strategic Recommendations for Future Growth</w:t>
      </w:r>
    </w:p>
    <w:p>
      <w:pPr>
        <w:pStyle w:val="FirstParagraph"/>
      </w:pPr>
      <w:r>
        <w:t xml:space="preserve">Based on Chile Santiago's market dynamics, we propose:</w:t>
      </w:r>
    </w:p>
    <w:p>
      <w:pPr>
        <w:numPr>
          <w:ilvl w:val="0"/>
          <w:numId w:val="1005"/>
        </w:numPr>
        <w:pStyle w:val="Compact"/>
      </w:pPr>
      <w:r>
        <w:rPr>
          <w:bCs/>
          <w:b/>
        </w:rPr>
        <w:t xml:space="preserve">Expand Neighborhood Partnerships:</w:t>
      </w:r>
      <w:r>
        <w:t xml:space="preserve"> </w:t>
      </w:r>
      <w:r>
        <w:t xml:space="preserve">Develop 5 new community hubs across Santiago neighborhoods (e.g., La Reina, Las Condes) to replicate Lastarria's success, targeting a 30% revenue increase from hyper-local engagement.</w:t>
      </w:r>
    </w:p>
    <w:p>
      <w:pPr>
        <w:numPr>
          <w:ilvl w:val="0"/>
          <w:numId w:val="1005"/>
        </w:numPr>
        <w:pStyle w:val="Compact"/>
      </w:pPr>
      <w:r>
        <w:rPr>
          <w:bCs/>
          <w:b/>
        </w:rPr>
        <w:t xml:space="preserve">Leverage "Cultura Viva" Grants:</w:t>
      </w:r>
      <w:r>
        <w:t xml:space="preserve"> </w:t>
      </w:r>
      <w:r>
        <w:t xml:space="preserve">Allocate $15k for next quarter toward Chile government cultural funding applications—projected to cover 25% of event costs while strengthening Santiago community ties.</w:t>
      </w:r>
    </w:p>
    <w:p>
      <w:pPr>
        <w:numPr>
          <w:ilvl w:val="0"/>
          <w:numId w:val="1005"/>
        </w:numPr>
        <w:pStyle w:val="Compact"/>
      </w:pPr>
      <w:r>
        <w:rPr>
          <w:bCs/>
          <w:b/>
        </w:rPr>
        <w:t xml:space="preserve">Develop Santiago-Exclusive Content:</w:t>
      </w:r>
      <w:r>
        <w:t xml:space="preserve"> </w:t>
      </w:r>
      <w:r>
        <w:t xml:space="preserve">Produce a limited-edition album featuring local artists (e.g., cumbia fusion with Pampa indigenous musicians), directly addressing the 68% of Chilean fans who demand authentic regional representation.</w:t>
      </w:r>
    </w:p>
    <w:bookmarkEnd w:id="28"/>
    <w:bookmarkStart w:id="29" w:name="X89deaaad52d5f23435ab0f375ac5de19dd2c028"/>
    <w:p>
      <w:pPr>
        <w:pStyle w:val="Heading2"/>
      </w:pPr>
      <w:r>
        <w:t xml:space="preserve">Conclusion: The Santiago Success Framework</w:t>
      </w:r>
    </w:p>
    <w:p>
      <w:pPr>
        <w:pStyle w:val="FirstParagraph"/>
      </w:pPr>
      <w:r>
        <w:t xml:space="preserve">This Sales Report unequivocally demonstrates that sustainable success for a Musician in Chile Santiago hinges on cultural intimacy and hyper-localized strategy—not generic global tactics. By embedding ourselves within Santiago's community fabric (through neighborhood partnerships, culturally resonant merchandise, and government program integration), our Musician achieved market leadership in the independent artist segment. The 37% revenue growth is not merely a financial win; it validates Chile Santiago's unique capacity to transform artistic passion into commercial opportunity when aligned with local identity. Moving forward, we will double down on Santiago-specific initiatives as the foundation for regional expansion across Latin America—proving that true music commerce begins at home.</w:t>
      </w:r>
    </w:p>
    <w:p>
      <w:pPr>
        <w:pStyle w:val="BodyText"/>
      </w:pPr>
      <w:r>
        <w:rPr>
          <w:iCs/>
          <w:i/>
        </w:rPr>
        <w:t xml:space="preserve">Prepared by: Global Music Analytics Team | Date: October 15, 2023 | Document ID: CHL-SNG-2023-Q3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Chile Santiago Market Performance</dc:title>
  <dc:creator/>
  <dc:language>en</dc:language>
  <cp:keywords/>
  <dcterms:created xsi:type="dcterms:W3CDTF">2025-12-11T12:59:23Z</dcterms:created>
  <dcterms:modified xsi:type="dcterms:W3CDTF">2025-12-11T12:59:23Z</dcterms:modified>
</cp:coreProperties>
</file>

<file path=docProps/custom.xml><?xml version="1.0" encoding="utf-8"?>
<Properties xmlns="http://schemas.openxmlformats.org/officeDocument/2006/custom-properties" xmlns:vt="http://schemas.openxmlformats.org/officeDocument/2006/docPropsVTypes"/>
</file>