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Guangzhou</w:t>
      </w:r>
      <w:r>
        <w:t xml:space="preserve"> </w:t>
      </w:r>
      <w:r>
        <w:t xml:space="preserve">Market</w:t>
      </w:r>
      <w:r>
        <w:t xml:space="preserve"> </w:t>
      </w:r>
      <w:r>
        <w:t xml:space="preserve">Performance</w:t>
      </w:r>
    </w:p>
    <w:bookmarkStart w:id="27" w:name="Xbf2911e17920581a2e6c8e51e521101b583d8d1"/>
    <w:p>
      <w:pPr>
        <w:pStyle w:val="Heading1"/>
      </w:pPr>
      <w:r>
        <w:t xml:space="preserve">Sales Report: Musician Performance Analysis in China Guangzhou</w:t>
      </w:r>
    </w:p>
    <w:bookmarkStart w:id="20" w:name="executive-summary"/>
    <w:p>
      <w:pPr>
        <w:pStyle w:val="Heading2"/>
      </w:pPr>
      <w:r>
        <w:t xml:space="preserve">Executive Summary</w:t>
      </w:r>
    </w:p>
    <w:p>
      <w:pPr>
        <w:pStyle w:val="FirstParagraph"/>
      </w:pPr>
      <w:r>
        <w:t xml:space="preserve">This comprehensive Sales Report details the performance of Musician-related products and services within the dynamic cultural marketplace of China Guangzhou. Covering Q3 2023, the report demonstrates significant growth potential for artist-focused solutions in South China's economic hub. Guangzhou's strategic position as a cultural gateway to Southeast Asia, coupled with its burgeoning creative sector, has positioned Musician businesses for unprecedented expansion. Total sales revenue reached RMB 18.7 million (USD $2.6 million), representing a 34% year-over-year increase and surpassing regional market growth by 12 percentage points.</w:t>
      </w:r>
    </w:p>
    <w:bookmarkEnd w:id="20"/>
    <w:bookmarkStart w:id="21" w:name="market-context-why-china-guangzhou"/>
    <w:p>
      <w:pPr>
        <w:pStyle w:val="Heading2"/>
      </w:pPr>
      <w:r>
        <w:t xml:space="preserve">Market Context: Why China Guangzhou?</w:t>
      </w:r>
    </w:p>
    <w:p>
      <w:pPr>
        <w:pStyle w:val="FirstParagraph"/>
      </w:pPr>
      <w:r>
        <w:t xml:space="preserve">China Guangzhou's status as a top-tier city for music commerce is undeniable. The city hosts over 5,000 registered music schools, 17 major concert venues (including the iconic Guangzhou Opera House), and has seen a 42% annual increase in live music events since 2021. Crucially, Guangzhou's "Canton Creative City" initiative actively supports Musician development through tax incentives and co-working spaces in Baiyun District. This ecosystem directly fuels demand for professional musician tools, performance software, and artist management services – making it the optimal market for targeted sales strategies.</w:t>
      </w:r>
    </w:p>
    <w:bookmarkEnd w:id="21"/>
    <w:bookmarkStart w:id="22" w:name="key-sales-performance-metrics"/>
    <w:p>
      <w:pPr>
        <w:pStyle w:val="Heading2"/>
      </w:pPr>
      <w:r>
        <w:t xml:space="preserve">Key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 Category</w:t>
            </w:r>
          </w:p>
        </w:tc>
        <w:tc>
          <w:tcPr/>
          <w:p>
            <w:pPr>
              <w:pStyle w:val="Compact"/>
              <w:jc w:val="left"/>
            </w:pPr>
            <w:r>
              <w:t xml:space="preserve">Q3 2023 Sales (RMB)</w:t>
            </w:r>
          </w:p>
        </w:tc>
        <w:tc>
          <w:tcPr/>
          <w:p>
            <w:pPr>
              <w:pStyle w:val="Compact"/>
              <w:jc w:val="left"/>
            </w:pPr>
            <w:r>
              <w:t xml:space="preserve">YoY Growth</w:t>
            </w:r>
          </w:p>
        </w:tc>
        <w:tc>
          <w:tcPr/>
          <w:p>
            <w:pPr>
              <w:pStyle w:val="Compact"/>
              <w:jc w:val="left"/>
            </w:pPr>
            <w:r>
              <w:t xml:space="preserve">Top Guangzhou Demand Drivers</w:t>
            </w:r>
          </w:p>
        </w:tc>
      </w:tr>
      <w:tr>
        <w:tc>
          <w:tcPr/>
          <w:p>
            <w:pPr>
              <w:pStyle w:val="Compact"/>
              <w:jc w:val="left"/>
            </w:pPr>
            <w:r>
              <w:t xml:space="preserve">Digital Music Production Kits</w:t>
            </w:r>
          </w:p>
        </w:tc>
        <w:tc>
          <w:tcPr/>
          <w:p>
            <w:pPr>
              <w:pStyle w:val="Compact"/>
              <w:jc w:val="left"/>
            </w:pPr>
            <w:r>
              <w:t xml:space="preserve">6,850,000</w:t>
            </w:r>
          </w:p>
        </w:tc>
        <w:tc>
          <w:tcPr/>
          <w:p>
            <w:pPr>
              <w:pStyle w:val="Compact"/>
              <w:jc w:val="left"/>
            </w:pPr>
            <w:r>
              <w:t xml:space="preserve">+41%</w:t>
            </w:r>
          </w:p>
        </w:tc>
        <w:tc>
          <w:tcPr/>
          <w:p>
            <w:pPr>
              <w:pStyle w:val="Compact"/>
              <w:jc w:val="left"/>
            </w:pPr>
            <w:r>
              <w:t xml:space="preserve">School partnerships, WeChat mini-program integration</w:t>
            </w:r>
          </w:p>
        </w:tc>
      </w:tr>
      <w:tr>
        <w:tc>
          <w:tcPr/>
          <w:p>
            <w:pPr>
              <w:pStyle w:val="Compact"/>
              <w:jc w:val="left"/>
            </w:pPr>
            <w:r>
              <w:t xml:space="preserve">Live Performance Analytics Software</w:t>
            </w:r>
          </w:p>
        </w:tc>
        <w:tc>
          <w:tcPr/>
          <w:p>
            <w:pPr>
              <w:pStyle w:val="Compact"/>
              <w:jc w:val="left"/>
            </w:pPr>
            <w:r>
              <w:t xml:space="preserve">4,275,000</w:t>
            </w:r>
          </w:p>
        </w:tc>
        <w:tc>
          <w:tcPr/>
          <w:p>
            <w:pPr>
              <w:pStyle w:val="Compact"/>
              <w:jc w:val="left"/>
            </w:pPr>
            <w:r>
              <w:t xml:space="preserve">+39%</w:t>
            </w:r>
          </w:p>
        </w:tc>
        <w:tc>
          <w:tcPr/>
          <w:p>
            <w:pPr>
              <w:pStyle w:val="Compact"/>
              <w:jc w:val="left"/>
            </w:pPr>
            <w:r>
              <w:t xml:space="preserve">Guangzhou Music Festival data needs (Zhujiang New Town)</w:t>
            </w:r>
          </w:p>
        </w:tc>
      </w:tr>
      <w:tr>
        <w:tc>
          <w:tcPr/>
          <w:p>
            <w:pPr>
              <w:pStyle w:val="Compact"/>
              <w:jc w:val="left"/>
            </w:pPr>
            <w:r>
              <w:t xml:space="preserve">Artist Branding &amp; Social Media Services</w:t>
            </w:r>
          </w:p>
        </w:tc>
        <w:tc>
          <w:tcPr/>
          <w:p>
            <w:pPr>
              <w:pStyle w:val="Compact"/>
              <w:jc w:val="left"/>
            </w:pPr>
            <w:r>
              <w:t xml:space="preserve">3,580,000</w:t>
            </w:r>
          </w:p>
        </w:tc>
        <w:tc>
          <w:tcPr/>
          <w:p>
            <w:pPr>
              <w:pStyle w:val="Compact"/>
              <w:jc w:val="left"/>
            </w:pPr>
            <w:r>
              <w:t xml:space="preserve">+29%</w:t>
            </w:r>
          </w:p>
        </w:tc>
        <w:tc>
          <w:tcPr/>
          <w:p>
            <w:pPr>
              <w:pStyle w:val="Compact"/>
              <w:jc w:val="left"/>
            </w:pPr>
            <w:r>
              <w:t xml:space="preserve">Mandarin-language content strategy for Douyin/WeChat</w:t>
            </w:r>
          </w:p>
        </w:tc>
      </w:tr>
      <w:tr>
        <w:tc>
          <w:tcPr/>
          <w:p>
            <w:pPr>
              <w:pStyle w:val="Compact"/>
              <w:jc w:val="left"/>
            </w:pPr>
            <w:r>
              <w:t xml:space="preserve">Portable Audio Equipment</w:t>
            </w:r>
          </w:p>
        </w:tc>
        <w:tc>
          <w:tcPr/>
          <w:p>
            <w:pPr>
              <w:pStyle w:val="Compact"/>
              <w:jc w:val="left"/>
            </w:pPr>
            <w:r>
              <w:t xml:space="preserve">3,995,000</w:t>
            </w:r>
          </w:p>
        </w:tc>
        <w:tc>
          <w:tcPr/>
          <w:p>
            <w:pPr>
              <w:pStyle w:val="Compact"/>
              <w:jc w:val="left"/>
            </w:pPr>
            <w:r>
              <w:t xml:space="preserve">+31%</w:t>
            </w:r>
          </w:p>
        </w:tc>
        <w:tc>
          <w:tcPr/>
          <w:p>
            <w:pPr>
              <w:pStyle w:val="Compact"/>
              <w:jc w:val="left"/>
            </w:pPr>
            <w:r>
              <w:t xml:space="preserve">Demand from street musicians in Shamian Island district</w:t>
            </w:r>
          </w:p>
        </w:tc>
      </w:tr>
    </w:tbl>
    <w:bookmarkEnd w:id="22"/>
    <w:bookmarkStart w:id="23" w:name="X3a8f83516d2dc3d96d6e2fd1cebf742b38ebede"/>
    <w:p>
      <w:pPr>
        <w:pStyle w:val="Heading2"/>
      </w:pPr>
      <w:r>
        <w:t xml:space="preserve">Strategic Insights: Musician Success in Guangzhou</w:t>
      </w:r>
    </w:p>
    <w:p>
      <w:pPr>
        <w:pStyle w:val="FirstParagraph"/>
      </w:pPr>
      <w:r>
        <w:t xml:space="preserve">The data reveals three critical success factors for Musician businesses in China Guangzhou:</w:t>
      </w:r>
    </w:p>
    <w:p>
      <w:pPr>
        <w:numPr>
          <w:ilvl w:val="0"/>
          <w:numId w:val="1001"/>
        </w:numPr>
        <w:pStyle w:val="Compact"/>
      </w:pPr>
      <w:r>
        <w:rPr>
          <w:bCs/>
          <w:b/>
        </w:rPr>
        <w:t xml:space="preserve">Cultural Localization:</w:t>
      </w:r>
      <w:r>
        <w:t xml:space="preserve"> </w:t>
      </w:r>
      <w:r>
        <w:t xml:space="preserve">Products integrated with WeChat ecosystem (e.g., "Musician Connect" mini-app for booking shows) achieved 58% higher conversion. Guangzhou's preference for social commerce over traditional sales channels was the primary driver.</w:t>
      </w:r>
    </w:p>
    <w:p>
      <w:pPr>
        <w:numPr>
          <w:ilvl w:val="0"/>
          <w:numId w:val="1001"/>
        </w:numPr>
        <w:pStyle w:val="Compact"/>
      </w:pPr>
      <w:r>
        <w:rPr>
          <w:bCs/>
          <w:b/>
        </w:rPr>
        <w:t xml:space="preserve">Government Partnership Synergy:</w:t>
      </w:r>
      <w:r>
        <w:t xml:space="preserve"> </w:t>
      </w:r>
      <w:r>
        <w:t xml:space="preserve">Collaboration with Guangzhou Culture Bureau's "Artist-in-Residence Program" generated 22% of total Q3 revenue. Musicians gaining official recognition through this initiative saw 3x more local booking inquiries.</w:t>
      </w:r>
    </w:p>
    <w:p>
      <w:pPr>
        <w:numPr>
          <w:ilvl w:val="0"/>
          <w:numId w:val="1001"/>
        </w:numPr>
        <w:pStyle w:val="Compact"/>
      </w:pPr>
      <w:r>
        <w:rPr>
          <w:bCs/>
          <w:b/>
        </w:rPr>
        <w:t xml:space="preserve">Regional Expansion Leverage:</w:t>
      </w:r>
      <w:r>
        <w:t xml:space="preserve"> </w:t>
      </w:r>
      <w:r>
        <w:t xml:space="preserve">Guangzhou serves as the headquarters for Musician solutions targeting Southeast Asia. Products tailored for Cantonese-language markets (e.g., Hong Kong, Macau) accounted for 17% of total sales, with cross-border demand growing at 52% YoY.</w:t>
      </w:r>
    </w:p>
    <w:bookmarkEnd w:id="23"/>
    <w:bookmarkStart w:id="24" w:name="challenges-adaptive-solutions"/>
    <w:p>
      <w:pPr>
        <w:pStyle w:val="Heading2"/>
      </w:pPr>
      <w:r>
        <w:t xml:space="preserve">Challenges &amp; Adaptive Solutions</w:t>
      </w:r>
    </w:p>
    <w:p>
      <w:pPr>
        <w:pStyle w:val="FirstParagraph"/>
      </w:pPr>
      <w:r>
        <w:t xml:space="preserve">Despite strong growth, challenges emerged in Guangzhou's unique market. The top hurdle was the fragmented musician community – independent artists (</w:t>
      </w:r>
      <w:r>
        <w:rPr>
          <w:iCs/>
          <w:i/>
        </w:rPr>
        <w:t xml:space="preserve">ziran yishu</w:t>
      </w:r>
      <w:r>
        <w:t xml:space="preserve">) dominate but operate on tight budgets. Our solution was a tiered pricing model: "Guangzhou Starter Package" (RMB 998/month) for emerging musicians, including basic analytics and WeChat marketing templates. This package achieved 73% adoption among Guangzhou-based indie artists.</w:t>
      </w:r>
    </w:p>
    <w:p>
      <w:pPr>
        <w:pStyle w:val="BodyText"/>
      </w:pPr>
      <w:r>
        <w:t xml:space="preserve">Another challenge was navigating Guangzhou's complex regulatory landscape for live music permits. The Sales Report details how our partnership with local entertainment law firm</w:t>
      </w:r>
      <w:r>
        <w:t xml:space="preserve"> </w:t>
      </w:r>
      <w:r>
        <w:rPr>
          <w:iCs/>
          <w:i/>
        </w:rPr>
        <w:t xml:space="preserve">Guangdong Music Legal</w:t>
      </w:r>
      <w:r>
        <w:t xml:space="preserve"> </w:t>
      </w:r>
      <w:r>
        <w:t xml:space="preserve">reduced compliance barriers by 65%, directly contributing to a 28% rise in venue partnership contracts.</w:t>
      </w:r>
    </w:p>
    <w:bookmarkEnd w:id="24"/>
    <w:bookmarkStart w:id="25" w:name="future-outlook-strategic-recommendations"/>
    <w:p>
      <w:pPr>
        <w:pStyle w:val="Heading2"/>
      </w:pPr>
      <w:r>
        <w:t xml:space="preserve">Future Outlook &amp; Strategic Recommendations</w:t>
      </w:r>
    </w:p>
    <w:p>
      <w:pPr>
        <w:pStyle w:val="FirstParagraph"/>
      </w:pPr>
      <w:r>
        <w:t xml:space="preserve">The trajectory for Musician sales in China Guangzhou remains exceptionally strong. With Guangzhou's projected cultural spending reaching RMB 100 billion by 2025 (Cultural Industry Development Report, 2023), we recommend three priority actions:</w:t>
      </w:r>
    </w:p>
    <w:p>
      <w:pPr>
        <w:numPr>
          <w:ilvl w:val="0"/>
          <w:numId w:val="1002"/>
        </w:numPr>
        <w:pStyle w:val="Compact"/>
      </w:pPr>
      <w:r>
        <w:rPr>
          <w:bCs/>
          <w:b/>
        </w:rPr>
        <w:t xml:space="preserve">Expand "Guangzhou Creative Hub" Partnerships:</w:t>
      </w:r>
      <w:r>
        <w:t xml:space="preserve"> </w:t>
      </w:r>
      <w:r>
        <w:t xml:space="preserve">Target 3 new co-working spaces in Zhujiang New Town by Q1 2024 to embed Musician solutions directly into artist communities.</w:t>
      </w:r>
    </w:p>
    <w:p>
      <w:pPr>
        <w:numPr>
          <w:ilvl w:val="0"/>
          <w:numId w:val="1002"/>
        </w:numPr>
        <w:pStyle w:val="Compact"/>
      </w:pPr>
      <w:r>
        <w:rPr>
          <w:bCs/>
          <w:b/>
        </w:rPr>
        <w:t xml:space="preserve">Develop Guangzhou-Specific Content Libraries:</w:t>
      </w:r>
      <w:r>
        <w:t xml:space="preserve"> </w:t>
      </w:r>
      <w:r>
        <w:t xml:space="preserve">Create Mandarin/English bilingual content kits addressing local music trends (e.g., Cantonese pop production guides), targeting the 5,800+ registered musicians in the city.</w:t>
      </w:r>
    </w:p>
    <w:p>
      <w:pPr>
        <w:numPr>
          <w:ilvl w:val="0"/>
          <w:numId w:val="1002"/>
        </w:numPr>
        <w:pStyle w:val="Compact"/>
      </w:pPr>
      <w:r>
        <w:rPr>
          <w:bCs/>
          <w:b/>
        </w:rPr>
        <w:t xml:space="preserve">Leverage Guangzhou's Trade Shows:</w:t>
      </w:r>
      <w:r>
        <w:t xml:space="preserve"> </w:t>
      </w:r>
      <w:r>
        <w:t xml:space="preserve">Secure exhibition space at the upcoming Guangzhou International Music &amp; Entertainment Expo (November 2023) to showcase solutions directly to venue operators and talent agencies.</w:t>
      </w:r>
    </w:p>
    <w:bookmarkEnd w:id="25"/>
    <w:bookmarkStart w:id="26" w:name="conclusion"/>
    <w:p>
      <w:pPr>
        <w:pStyle w:val="Heading2"/>
      </w:pPr>
      <w:r>
        <w:t xml:space="preserve">Conclusion</w:t>
      </w:r>
    </w:p>
    <w:p>
      <w:pPr>
        <w:pStyle w:val="FirstParagraph"/>
      </w:pPr>
      <w:r>
        <w:t xml:space="preserve">This Sales Report unequivocally affirms China Guangzhou as a high-growth epicenter for Musician businesses. The city’s unique blend of governmental support, cultural infrastructure, and digital-savvy creative communities creates an unmatched environment for scalable solutions. As the music industry in Guangzhou evolves toward greater technology integration – particularly through AI-driven analytics and social commerce – the strategic positioning of Musician-focused products will be critical to sustained market leadership.</w:t>
      </w:r>
    </w:p>
    <w:p>
      <w:pPr>
        <w:pStyle w:val="BodyText"/>
      </w:pPr>
      <w:r>
        <w:t xml:space="preserve">With 78% of Guangzhou-based musicians planning increased tech investment in 2024 (per our Q3 survey), the opportunity for Musician sales teams is not just significant but strategically imperative. The data confirms: prioritizing China Guangzhou's ecosystem delivers exponential returns for Musician business development.</w:t>
      </w:r>
    </w:p>
    <w:p>
      <w:pPr>
        <w:pStyle w:val="BodyText"/>
      </w:pPr>
      <w:r>
        <w:rPr>
          <w:bCs/>
          <w:b/>
        </w:rPr>
        <w:t xml:space="preserve">Prepared For:</w:t>
      </w:r>
      <w:r>
        <w:t xml:space="preserve"> </w:t>
      </w:r>
      <w:r>
        <w:t xml:space="preserve">Global Sales Leadership, China Guangzhou Division</w:t>
      </w:r>
      <w:r>
        <w:br/>
      </w:r>
      <w:r>
        <w:rPr>
          <w:bCs/>
          <w:b/>
        </w:rPr>
        <w:t xml:space="preserve">Date:</w:t>
      </w:r>
      <w:r>
        <w:t xml:space="preserve"> </w:t>
      </w:r>
      <w:r>
        <w:t xml:space="preserve">October 26, 2023</w:t>
      </w:r>
      <w:r>
        <w:br/>
      </w:r>
      <w:r>
        <w:rPr>
          <w:bCs/>
          <w:b/>
        </w:rPr>
        <w:t xml:space="preserve">Sales Report ID:</w:t>
      </w:r>
      <w:r>
        <w:t xml:space="preserve"> </w:t>
      </w:r>
      <w:r>
        <w:t xml:space="preserve">GZ-MUSIC-REPORT-Q3-2023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Guangzhou Market Performance</dc:title>
  <dc:creator/>
  <dc:language>en</dc:language>
  <cp:keywords/>
  <dcterms:created xsi:type="dcterms:W3CDTF">2026-06-03T03:29:14Z</dcterms:created>
  <dcterms:modified xsi:type="dcterms:W3CDTF">2026-06-03T03:29:14Z</dcterms:modified>
</cp:coreProperties>
</file>

<file path=docProps/custom.xml><?xml version="1.0" encoding="utf-8"?>
<Properties xmlns="http://schemas.openxmlformats.org/officeDocument/2006/custom-properties" xmlns:vt="http://schemas.openxmlformats.org/officeDocument/2006/docPropsVTypes"/>
</file>