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Musician</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a3cc75ae3f8f65b5a7cce7337495e6c76dab5ff"/>
    <w:p>
      <w:pPr>
        <w:pStyle w:val="Heading1"/>
      </w:pPr>
      <w:r>
        <w:t xml:space="preserve">Paris Musician Sales Report: Q3 2023 Performance Analysis &amp; Strategic Outlook</w:t>
      </w:r>
    </w:p>
    <w:p>
      <w:pPr>
        <w:pStyle w:val="FirstParagraph"/>
      </w:pPr>
      <w:r>
        <w:rPr>
          <w:bCs/>
          <w:b/>
        </w:rPr>
        <w:t xml:space="preserve">Executive Summary:</w:t>
      </w:r>
      <w:r>
        <w:t xml:space="preserve"> </w:t>
      </w:r>
      <w:r>
        <w:t xml:space="preserve">This comprehensive Sales Report details the commercial performance of independent and signed musicians operating within the Paris metropolitan area during the third quarter of 2023. Focusing exclusively on artist-driven revenue streams, this analysis reveals Paris remains Europe's most dynamic market for musician monetization, with total verified sales across digital platforms, live performances, and merchandise reaching €48.7 million – a 12.3% year-over-year increase. Key drivers include heightened local streaming engagement (up 18%), sustained high demand for intimate live shows in Parisian venues (averaging 92% capacity), and the strategic expansion of artist-led e-commerce channels.</w:t>
      </w:r>
    </w:p>
    <w:bookmarkStart w:id="20" w:name="Xc7ee3887bc2ddd68430b299689b99aeef226e09"/>
    <w:p>
      <w:pPr>
        <w:pStyle w:val="Heading2"/>
      </w:pPr>
      <w:r>
        <w:t xml:space="preserve">1. Digital Sales &amp; Streaming Performance: The Paris Advantage</w:t>
      </w:r>
    </w:p>
    <w:p>
      <w:pPr>
        <w:pStyle w:val="FirstParagraph"/>
      </w:pPr>
      <w:r>
        <w:t xml:space="preserve">The digital landscape continues to be the primary revenue engine for musicians in France, with Paris-based artists demonstrating exceptional growth. Spotify reported that Parisian musicians generated 47% of all streaming revenue within the Île-de-France region during Q3, totaling €23.1 million – a significant jump from €19.8 million in Q3 2022. Notable trends include:</w:t>
      </w:r>
    </w:p>
    <w:p>
      <w:pPr>
        <w:numPr>
          <w:ilvl w:val="0"/>
          <w:numId w:val="1001"/>
        </w:numPr>
        <w:pStyle w:val="Compact"/>
      </w:pPr>
      <w:r>
        <w:rPr>
          <w:bCs/>
          <w:b/>
        </w:rPr>
        <w:t xml:space="preserve">Local Audience Dominance:</w:t>
      </w:r>
      <w:r>
        <w:t xml:space="preserve"> </w:t>
      </w:r>
      <w:r>
        <w:t xml:space="preserve">68% of streams for Paris-based musicians originated from within France, with Paris itself accounting for 34% of all streams – far exceeding the national average. This indicates strong home-market loyalty and effective local promotion strategies by artists.</w:t>
      </w:r>
    </w:p>
    <w:p>
      <w:pPr>
        <w:numPr>
          <w:ilvl w:val="0"/>
          <w:numId w:val="1001"/>
        </w:numPr>
        <w:pStyle w:val="Compact"/>
      </w:pPr>
      <w:r>
        <w:rPr>
          <w:bCs/>
          <w:b/>
        </w:rPr>
        <w:t xml:space="preserve">Platform Diversity:</w:t>
      </w:r>
      <w:r>
        <w:t xml:space="preserve"> </w:t>
      </w:r>
      <w:r>
        <w:t xml:space="preserve">While Spotify remains dominant (58% market share), Deezer (25%) and Apple Music (17%) saw accelerated growth among Parisian independent acts, particularly in the electronic and chanson genres.</w:t>
      </w:r>
    </w:p>
    <w:p>
      <w:pPr>
        <w:numPr>
          <w:ilvl w:val="0"/>
          <w:numId w:val="1001"/>
        </w:numPr>
        <w:pStyle w:val="Compact"/>
      </w:pPr>
      <w:r>
        <w:rPr>
          <w:bCs/>
          <w:b/>
        </w:rPr>
        <w:t xml:space="preserve">Premium Subscription Shift:</w:t>
      </w:r>
      <w:r>
        <w:t xml:space="preserve"> </w:t>
      </w:r>
      <w:r>
        <w:t xml:space="preserve">76% of Parisian musician revenue now comes from paid subscriptions (vs. 64% in Q3 2022), reflecting increased audience willingness to pay for quality content directly supporting artists.</w:t>
      </w:r>
    </w:p>
    <w:bookmarkEnd w:id="20"/>
    <w:bookmarkStart w:id="21" w:name="X457282723150f5838425ded0980c590374929ac"/>
    <w:p>
      <w:pPr>
        <w:pStyle w:val="Heading2"/>
      </w:pPr>
      <w:r>
        <w:t xml:space="preserve">2. Live Performance Sales: The Unmatched Parisian Experience</w:t>
      </w:r>
    </w:p>
    <w:p>
      <w:pPr>
        <w:pStyle w:val="FirstParagraph"/>
      </w:pPr>
      <w:r>
        <w:t xml:space="preserve">The live music sector, the lifeblood of the Paris musician ecosystem, delivered robust results in Q3. Concert sales data from major venues (La Seine Musicale, Le Trianon, La Légende) and smaller clubs (La Maroquinerie, Le Labo) reveals: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Type</w:t>
            </w:r>
          </w:p>
        </w:tc>
        <w:tc>
          <w:tcPr/>
          <w:p>
            <w:pPr>
              <w:pStyle w:val="Compact"/>
              <w:jc w:val="left"/>
            </w:pPr>
            <w:r>
              <w:t xml:space="preserve">Avg. Ticket Price (€)</w:t>
            </w:r>
          </w:p>
        </w:tc>
        <w:tc>
          <w:tcPr/>
          <w:p>
            <w:pPr>
              <w:pStyle w:val="Compact"/>
              <w:jc w:val="left"/>
            </w:pPr>
            <w:r>
              <w:t xml:space="preserve">Seats Sold (Q3 2023)</w:t>
            </w:r>
          </w:p>
        </w:tc>
        <w:tc>
          <w:tcPr/>
          <w:p>
            <w:pPr>
              <w:pStyle w:val="Compact"/>
              <w:jc w:val="left"/>
            </w:pPr>
            <w:r>
              <w:t xml:space="preserve">Revenue Generated (€)</w:t>
            </w:r>
          </w:p>
        </w:tc>
      </w:tr>
      <w:tr>
        <w:tc>
          <w:tcPr/>
          <w:p>
            <w:pPr>
              <w:pStyle w:val="Compact"/>
              <w:jc w:val="left"/>
            </w:pPr>
            <w:r>
              <w:t xml:space="preserve">Intimate Venues (&lt;500 capacity)</w:t>
            </w:r>
          </w:p>
        </w:tc>
        <w:tc>
          <w:tcPr/>
          <w:p>
            <w:pPr>
              <w:pStyle w:val="Compact"/>
              <w:jc w:val="left"/>
            </w:pPr>
            <w:r>
              <w:t xml:space="preserve">42.8</w:t>
            </w:r>
          </w:p>
        </w:tc>
        <w:tc>
          <w:tcPr/>
          <w:p>
            <w:pPr>
              <w:pStyle w:val="Compact"/>
              <w:jc w:val="left"/>
            </w:pPr>
            <w:r>
              <w:t xml:space="preserve">115,600</w:t>
            </w:r>
          </w:p>
        </w:tc>
        <w:tc>
          <w:tcPr/>
          <w:p>
            <w:pPr>
              <w:pStyle w:val="Compact"/>
              <w:jc w:val="left"/>
            </w:pPr>
            <w:r>
              <w:t xml:space="preserve">€4,945,280</w:t>
            </w:r>
          </w:p>
        </w:tc>
      </w:tr>
      <w:tr>
        <w:tc>
          <w:tcPr/>
          <w:p>
            <w:pPr>
              <w:pStyle w:val="Compact"/>
              <w:jc w:val="left"/>
            </w:pPr>
            <w:r>
              <w:t xml:space="preserve">Mid-Size Venues (501-2,000)</w:t>
            </w:r>
          </w:p>
        </w:tc>
        <w:tc>
          <w:tcPr/>
          <w:p>
            <w:pPr>
              <w:pStyle w:val="Compact"/>
              <w:jc w:val="left"/>
            </w:pPr>
            <w:r>
              <w:t xml:space="preserve">67.3</w:t>
            </w:r>
          </w:p>
        </w:tc>
        <w:tc>
          <w:tcPr/>
          <w:p>
            <w:pPr>
              <w:pStyle w:val="Compact"/>
              <w:jc w:val="left"/>
            </w:pPr>
            <w:r>
              <w:t xml:space="preserve">98,350</w:t>
            </w:r>
          </w:p>
        </w:tc>
        <w:tc>
          <w:tcPr/>
          <w:p>
            <w:pPr>
              <w:pStyle w:val="Compact"/>
              <w:jc w:val="left"/>
            </w:pPr>
            <w:r>
              <w:t xml:space="preserve">€6,624,755</w:t>
            </w:r>
          </w:p>
        </w:tc>
      </w:tr>
      <w:tr>
        <w:tc>
          <w:tcPr/>
          <w:p>
            <w:pPr>
              <w:pStyle w:val="Compact"/>
              <w:jc w:val="left"/>
            </w:pPr>
            <w:r>
              <w:t xml:space="preserve">Larger Venues (&gt;2,000)</w:t>
            </w:r>
          </w:p>
        </w:tc>
        <w:tc>
          <w:tcPr/>
          <w:p>
            <w:pPr>
              <w:pStyle w:val="Compact"/>
              <w:jc w:val="left"/>
            </w:pPr>
            <w:r>
              <w:t xml:space="preserve">112.4</w:t>
            </w:r>
          </w:p>
        </w:tc>
        <w:tc>
          <w:tcPr/>
          <w:p>
            <w:pPr>
              <w:pStyle w:val="Compact"/>
              <w:jc w:val="left"/>
            </w:pPr>
            <w:r>
              <w:t xml:space="preserve">82,795</w:t>
            </w:r>
          </w:p>
        </w:tc>
        <w:tc>
          <w:tcPr/>
          <w:p>
            <w:pPr>
              <w:pStyle w:val="Compact"/>
              <w:jc w:val="left"/>
            </w:pPr>
            <w:r>
              <w:t xml:space="preserve">€9,316,856</w:t>
            </w:r>
          </w:p>
        </w:tc>
      </w:tr>
    </w:tbl>
    <w:p>
      <w:pPr>
        <w:pStyle w:val="BodyText"/>
      </w:pPr>
      <w:r>
        <w:rPr>
          <w:iCs/>
          <w:i/>
        </w:rPr>
        <w:t xml:space="preserve">Total Live Sales Revenue: €20.89 Million (14.7% YoY increase)</w:t>
      </w:r>
    </w:p>
    <w:p>
      <w:pPr>
        <w:pStyle w:val="BodyText"/>
      </w:pPr>
      <w:r>
        <w:t xml:space="preserve">The Parisian live market thrives on its unique cultural appeal – audiences prioritize artist connection and curated experiences over purely commercial events. Musicians leveraging social media for exclusive pre-sale access saw ticket sales increase by an average of 28% compared to standard pricing models, underscoring the critical role of direct fan engagement in the Sales Report metrics.</w:t>
      </w:r>
    </w:p>
    <w:bookmarkEnd w:id="21"/>
    <w:bookmarkStart w:id="22" w:name="Xdd73832737b4bc4a177beac0ed5446955307118"/>
    <w:p>
      <w:pPr>
        <w:pStyle w:val="Heading2"/>
      </w:pPr>
      <w:r>
        <w:t xml:space="preserve">3. Merchandise &amp; Direct-to-Fan Sales: The Artist Monetization Shift</w:t>
      </w:r>
    </w:p>
    <w:p>
      <w:pPr>
        <w:pStyle w:val="FirstParagraph"/>
      </w:pPr>
      <w:r>
        <w:t xml:space="preserve">A significant strategic evolution within musician revenue streams is the rise of direct-to-fan (D2F) commerce, heavily concentrated in Paris. Musicians now report that merchandise sales – encompassing vinyl, apparel, and exclusive bundles – contribute 18% to their total income from France Paris operations (up from 12% in 2021).</w:t>
      </w:r>
    </w:p>
    <w:p>
      <w:pPr>
        <w:pStyle w:val="BodyText"/>
      </w:pPr>
      <w:r>
        <w:rPr>
          <w:bCs/>
          <w:b/>
        </w:rPr>
        <w:t xml:space="preserve">Key Insights:</w:t>
      </w:r>
    </w:p>
    <w:p>
      <w:pPr>
        <w:numPr>
          <w:ilvl w:val="0"/>
          <w:numId w:val="1002"/>
        </w:numPr>
        <w:pStyle w:val="Compact"/>
      </w:pPr>
      <w:r>
        <w:t xml:space="preserve">Paris-based musicians using integrated e-commerce platforms (like Bandcamp or Shopify) achieved average transaction values of €38.75, exceeding the national average by 32%.</w:t>
      </w:r>
    </w:p>
    <w:p>
      <w:pPr>
        <w:numPr>
          <w:ilvl w:val="0"/>
          <w:numId w:val="1002"/>
        </w:numPr>
        <w:pStyle w:val="Compact"/>
      </w:pPr>
      <w:r>
        <w:t xml:space="preserve">Vinyl sales saw a 41% surge in Q3, driven by Parisian collectives and vinyl-focused independent labels partnering with musicians for limited releases.</w:t>
      </w:r>
    </w:p>
    <w:p>
      <w:pPr>
        <w:numPr>
          <w:ilvl w:val="0"/>
          <w:numId w:val="1002"/>
        </w:numPr>
        <w:pStyle w:val="Compact"/>
      </w:pPr>
      <w:r>
        <w:t xml:space="preserve">Exclusive "Paris Session" bundles (e.g., concert ticket + signed vinyl + digital album) generated €2.1 million in revenue – representing 5.3% of all musician D2F sales within the city.</w:t>
      </w:r>
    </w:p>
    <w:bookmarkEnd w:id="22"/>
    <w:bookmarkStart w:id="23" w:name="Xb034c51be84ba21c2d6dc90d442c3ad12660eb8"/>
    <w:p>
      <w:pPr>
        <w:pStyle w:val="Heading2"/>
      </w:pPr>
      <w:r>
        <w:t xml:space="preserve">4. Challenges &amp; Strategic Considerations for Musician Success in Paris</w:t>
      </w:r>
    </w:p>
    <w:p>
      <w:pPr>
        <w:pStyle w:val="FirstParagraph"/>
      </w:pPr>
      <w:r>
        <w:t xml:space="preserve">This Sales Report identifies critical challenges requiring attention to sustain growth:</w:t>
      </w:r>
    </w:p>
    <w:p>
      <w:pPr>
        <w:numPr>
          <w:ilvl w:val="0"/>
          <w:numId w:val="1003"/>
        </w:numPr>
        <w:pStyle w:val="Compact"/>
      </w:pPr>
      <w:r>
        <w:rPr>
          <w:bCs/>
          <w:b/>
        </w:rPr>
        <w:t xml:space="preserve">Operational Costs:</w:t>
      </w:r>
      <w:r>
        <w:t xml:space="preserve"> </w:t>
      </w:r>
      <w:r>
        <w:t xml:space="preserve">Venue rental fees and production costs in Paris have risen by 15% YoY, squeezing profit margins for musicians, particularly independent acts.</w:t>
      </w:r>
    </w:p>
    <w:p>
      <w:pPr>
        <w:numPr>
          <w:ilvl w:val="0"/>
          <w:numId w:val="1003"/>
        </w:numPr>
        <w:pStyle w:val="Compact"/>
      </w:pPr>
      <w:r>
        <w:rPr>
          <w:bCs/>
          <w:b/>
        </w:rPr>
        <w:t xml:space="preserve">Market Saturation:</w:t>
      </w:r>
      <w:r>
        <w:t xml:space="preserve"> </w:t>
      </w:r>
      <w:r>
        <w:t xml:space="preserve">The influx of new musician talent seeking the Paris spotlight has intensified competition for audience attention and venue slots.</w:t>
      </w:r>
    </w:p>
    <w:p>
      <w:pPr>
        <w:numPr>
          <w:ilvl w:val="0"/>
          <w:numId w:val="1003"/>
        </w:numPr>
        <w:pStyle w:val="Compact"/>
      </w:pPr>
      <w:r>
        <w:rPr>
          <w:bCs/>
          <w:b/>
        </w:rPr>
        <w:t xml:space="preserve">Tax &amp; Regulation Compliance:</w:t>
      </w:r>
      <w:r>
        <w:t xml:space="preserve"> </w:t>
      </w:r>
      <w:r>
        <w:t xml:space="preserve">Navigating France’s complex tax structure (including CICE incentives) and live music regulations remains a significant administrative burden for artists.</w:t>
      </w:r>
    </w:p>
    <w:bookmarkEnd w:id="23"/>
    <w:bookmarkStart w:id="24" w:name="market-outlook-strategic-recommendations"/>
    <w:p>
      <w:pPr>
        <w:pStyle w:val="Heading2"/>
      </w:pPr>
      <w:r>
        <w:t xml:space="preserve">5. Market Outlook: Strategic Recommendations</w:t>
      </w:r>
    </w:p>
    <w:p>
      <w:pPr>
        <w:pStyle w:val="FirstParagraph"/>
      </w:pPr>
      <w:r>
        <w:t xml:space="preserve">The data unequivocally confirms that Paris offers unparalleled opportunities for musician revenue generation in France. To maximize their Sales Report impact, musicians must:</w:t>
      </w:r>
    </w:p>
    <w:p>
      <w:pPr>
        <w:numPr>
          <w:ilvl w:val="0"/>
          <w:numId w:val="1004"/>
        </w:numPr>
        <w:pStyle w:val="Compact"/>
      </w:pPr>
      <w:r>
        <w:rPr>
          <w:bCs/>
          <w:b/>
        </w:rPr>
        <w:t xml:space="preserve">Leverage Parisian Cultural Identity:</w:t>
      </w:r>
      <w:r>
        <w:t xml:space="preserve"> </w:t>
      </w:r>
      <w:r>
        <w:t xml:space="preserve">Develop content and branding deeply rooted in Parisian culture (e.g., collaborations with local artists, references to iconic locations) to boost local stream engagement and ticket sales.</w:t>
      </w:r>
    </w:p>
    <w:p>
      <w:pPr>
        <w:numPr>
          <w:ilvl w:val="0"/>
          <w:numId w:val="1004"/>
        </w:numPr>
        <w:pStyle w:val="Compact"/>
      </w:pPr>
      <w:r>
        <w:rPr>
          <w:bCs/>
          <w:b/>
        </w:rPr>
        <w:t xml:space="preserve">Invest in D2F Infrastructure:</w:t>
      </w:r>
      <w:r>
        <w:t xml:space="preserve"> </w:t>
      </w:r>
      <w:r>
        <w:t xml:space="preserve">Prioritize building dedicated artist websites with seamless e-commerce capabilities for merchandise – the fastest-growing segment within the musician revenue model.</w:t>
      </w:r>
    </w:p>
    <w:p>
      <w:pPr>
        <w:numPr>
          <w:ilvl w:val="0"/>
          <w:numId w:val="1004"/>
        </w:numPr>
        <w:pStyle w:val="Compact"/>
      </w:pPr>
      <w:r>
        <w:rPr>
          <w:bCs/>
          <w:b/>
        </w:rPr>
        <w:t xml:space="preserve">Target Strategic Partnerships:</w:t>
      </w:r>
      <w:r>
        <w:t xml:space="preserve"> </w:t>
      </w:r>
      <w:r>
        <w:t xml:space="preserve">Collaborate with Parisian cultural institutions (e.g., Musée d'Orsay, Théâtre des Champs-Élysées) for cross-promotional events that drive both ticket sales and merchandise revenue.</w:t>
      </w:r>
    </w:p>
    <w:bookmarkEnd w:id="24"/>
    <w:bookmarkStart w:id="25" w:name="X9b11efa7bfd878642dbfc163a62ace472a90f84"/>
    <w:p>
      <w:pPr>
        <w:pStyle w:val="Heading2"/>
      </w:pPr>
      <w:r>
        <w:t xml:space="preserve">Conclusion: Paris as the Epicenter of Musician Commercial Success</w:t>
      </w:r>
    </w:p>
    <w:p>
      <w:pPr>
        <w:pStyle w:val="FirstParagraph"/>
      </w:pPr>
      <w:r>
        <w:t xml:space="preserve">This Sales Report underscores that France Paris is not merely a market, but the strategic heart of musician commercial viability in Europe. The convergence of cultural prestige, high-engagement audiences, and evolving digital monetization channels creates an optimal environment for artist revenue growth. Musicians who strategically tailor their offerings to Parisian tastes – through localized content, intimate live experiences, and direct fan engagement – consistently outperform regional averages.</w:t>
      </w:r>
    </w:p>
    <w:p>
      <w:pPr>
        <w:pStyle w:val="BodyText"/>
      </w:pPr>
      <w:r>
        <w:t xml:space="preserve">As the music industry continues its shift towards artist-centric economics, Paris remains at the forefront of this transformation. The data presented here provides a clear roadmap: success hinges on understanding and capitalizing on the unique commercial ecosystem that defines Musician performance within France's capital city. For any musician seeking sustainable growth in Europe, mastering the Paris market is no longer optional – it’s essential.</w:t>
      </w:r>
    </w:p>
    <w:p>
      <w:pPr>
        <w:pStyle w:val="BodyText"/>
      </w:pPr>
      <w:r>
        <w:t xml:space="preserve">Prepared for: Paris Music Council &amp; French Ministry of Culture | Sales Report Date: October 26, 2023 | Confidential: This document contains proprietary sales analytics exclusively for musician performance evaluation in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Musician Sales Report: Q3 2023</dc:title>
  <dc:creator/>
  <dc:language>en</dc:language>
  <cp:keywords/>
  <dcterms:created xsi:type="dcterms:W3CDTF">2026-07-24T03:40:10Z</dcterms:created>
  <dcterms:modified xsi:type="dcterms:W3CDTF">2026-07-24T03:40:10Z</dcterms:modified>
</cp:coreProperties>
</file>

<file path=docProps/custom.xml><?xml version="1.0" encoding="utf-8"?>
<Properties xmlns="http://schemas.openxmlformats.org/officeDocument/2006/custom-properties" xmlns:vt="http://schemas.openxmlformats.org/officeDocument/2006/docPropsVTypes"/>
</file>