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Germany</w:t>
      </w:r>
      <w:r>
        <w:t xml:space="preserve"> </w:t>
      </w:r>
      <w:r>
        <w:t xml:space="preserve">Munich</w:t>
      </w:r>
      <w:r>
        <w:t xml:space="preserve"> </w:t>
      </w:r>
      <w:r>
        <w:t xml:space="preserve">Market</w:t>
      </w:r>
      <w:r>
        <w:t xml:space="preserve"> </w:t>
      </w:r>
      <w:r>
        <w:t xml:space="preserve">Performance</w:t>
      </w:r>
    </w:p>
    <w:bookmarkStart w:id="29" w:name="Xbe16ba0db0efd06de8ca64f945786ed665f9285"/>
    <w:p>
      <w:pPr>
        <w:pStyle w:val="Heading1"/>
      </w:pPr>
      <w:r>
        <w:t xml:space="preserve">Comprehensive Sales Report for Musician Performance in Germany Munich</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International Artist Management Team |</w:t>
      </w:r>
      <w:r>
        <w:t xml:space="preserve"> </w:t>
      </w:r>
      <w:r>
        <w:rPr>
          <w:bCs/>
          <w:b/>
        </w:rPr>
        <w:t xml:space="preserve">Reporting Period:</w:t>
      </w:r>
      <w:r>
        <w:t xml:space="preserve"> </w:t>
      </w:r>
      <w:r>
        <w:t xml:space="preserve">September 1 - October 30, 2023</w:t>
      </w:r>
    </w:p>
    <w:bookmarkStart w:id="20" w:name="purpose-of-this-sales-report"/>
    <w:p>
      <w:pPr>
        <w:pStyle w:val="Heading2"/>
      </w:pPr>
      <w:r>
        <w:t xml:space="preserve">Purpose of This Sales Report</w:t>
      </w:r>
    </w:p>
    <w:p>
      <w:pPr>
        <w:pStyle w:val="FirstParagraph"/>
      </w:pPr>
      <w:r>
        <w:t xml:space="preserve">This official Sales Report details the financial and market performance of the acclaimed violinist</w:t>
      </w:r>
      <w:r>
        <w:t xml:space="preserve"> </w:t>
      </w:r>
      <w:r>
        <w:rPr>
          <w:iCs/>
          <w:i/>
        </w:rPr>
        <w:t xml:space="preserve">Alexei Volkov</w:t>
      </w:r>
      <w:r>
        <w:t xml:space="preserve"> </w:t>
      </w:r>
      <w:r>
        <w:t xml:space="preserve">during his landmark residency at Munich's prestigious Gasteig Cultural Center. As a globally recognized musician, Volkov's engagement in Germany Munich represents a pivotal market opportunity within Europe's classical music landscape. This document provides actionable insights for strategic expansion of the musician's presence across German-speaking markets, with special focus on Munich as both a cultural epicenter and commercial hub.</w:t>
      </w:r>
    </w:p>
    <w:p>
      <w:pPr>
        <w:pStyle w:val="BodyText"/>
      </w:pPr>
      <w:r>
        <w:rPr>
          <w:bCs/>
          <w:b/>
        </w:rPr>
        <w:t xml:space="preserve">Key Insight:</w:t>
      </w:r>
      <w:r>
        <w:t xml:space="preserve"> </w:t>
      </w:r>
      <w:r>
        <w:t xml:space="preserve">The Munich engagement delivered 27% above target revenue while establishing new benchmarks for artist-market synergy in Germany. This Sales Report confirms that strategic positioning as a musician within Germany Munich's high-value arts ecosystem drives sustainable growth.</w:t>
      </w:r>
    </w:p>
    <w:bookmarkEnd w:id="20"/>
    <w:bookmarkStart w:id="22" w:name="X4a47e0db69c4de8890989721e29021b5fea353d"/>
    <w:p>
      <w:pPr>
        <w:pStyle w:val="Heading2"/>
      </w:pPr>
      <w:r>
        <w:t xml:space="preserve">Sales Performance Summary: Germany Munich Market</w:t>
      </w:r>
    </w:p>
    <w:p>
      <w:pPr>
        <w:pStyle w:val="FirstParagraph"/>
      </w:pPr>
      <w:r>
        <w:t xml:space="preserve">The September 15-20 residency at Gasteig Philharmonic Hall marked Volkov's most successful German engagement to date. With a total of 8,450 tickets sold across six performances, the musician achieved €386,750 in gross revenue—surpassing the initial target by €72,310 (23.1%). The average ticket price of €45.80 reflected Munich's premium market positioning where audiences demonstrate strong willingness to invest in live classical experiences.</w:t>
      </w:r>
    </w:p>
    <w:bookmarkStart w:id="21" w:name="performance-breakdown"/>
    <w:p>
      <w:pPr>
        <w:pStyle w:val="Heading3"/>
      </w:pPr>
      <w:r>
        <w:t xml:space="preserve">Performance Breakdown</w:t>
      </w:r>
    </w:p>
    <w:p>
      <w:pPr>
        <w:pStyle w:val="FirstParagraph"/>
      </w:pPr>
      <w:r>
        <w:t xml:space="preserve">Performance Date</w:t>
      </w:r>
    </w:p>
    <w:p>
      <w:pPr>
        <w:pStyle w:val="BodyText"/>
      </w:pPr>
      <w:r>
        <w:t xml:space="preserve">Tickets Sold</w:t>
      </w:r>
    </w:p>
    <w:p>
      <w:pPr>
        <w:pStyle w:val="BodyText"/>
      </w:pPr>
      <w:r>
        <w:t xml:space="preserve">Gross Revenue (€)</w:t>
      </w:r>
    </w:p>
    <w:p>
      <w:pPr>
        <w:pStyle w:val="BodyText"/>
      </w:pPr>
      <w:r>
        <w:t xml:space="preserve">Occupancy Rate</w:t>
      </w:r>
    </w:p>
    <w:p>
      <w:pPr>
        <w:pStyle w:val="BodyText"/>
      </w:pPr>
      <w:r>
        <w:t xml:space="preserve">September 15</w:t>
      </w:r>
    </w:p>
    <w:p>
      <w:pPr>
        <w:pStyle w:val="BodyText"/>
      </w:pPr>
      <w:r>
        <w:t xml:space="preserve">1,420</w:t>
      </w:r>
    </w:p>
    <w:p>
      <w:pPr>
        <w:pStyle w:val="BodyText"/>
      </w:pPr>
      <w:r>
        <w:t xml:space="preserve">65,032</w:t>
      </w:r>
    </w:p>
    <w:p>
      <w:pPr>
        <w:pStyle w:val="BodyText"/>
      </w:pPr>
      <w:r>
        <w:t xml:space="preserve">97.2%</w:t>
      </w:r>
    </w:p>
    <w:p>
      <w:pPr>
        <w:pStyle w:val="BodyText"/>
      </w:pPr>
      <w:r>
        <w:t xml:space="preserve">September 16</w:t>
      </w:r>
    </w:p>
    <w:p>
      <w:pPr>
        <w:pStyle w:val="BodyText"/>
      </w:pPr>
      <w:r>
        <w:t xml:space="preserve">1,385</w:t>
      </w:r>
    </w:p>
    <w:p>
      <w:pPr>
        <w:pStyle w:val="BodyText"/>
      </w:pPr>
      <w:r>
        <w:rPr>
          <w:bCs/>
          <w:b/>
        </w:rPr>
        <w:t xml:space="preserve">€64,789</w:t>
      </w:r>
    </w:p>
    <w:p>
      <w:pPr>
        <w:pStyle w:val="BodyText"/>
      </w:pPr>
      <w:r>
        <w:t xml:space="preserve">September 18</w:t>
      </w:r>
    </w:p>
    <w:p>
      <w:pPr>
        <w:pStyle w:val="BodyText"/>
      </w:pPr>
      <w:r>
        <w:t xml:space="preserve">1,502</w:t>
      </w:r>
    </w:p>
    <w:p>
      <w:pPr>
        <w:pStyle w:val="BodyText"/>
      </w:pPr>
      <w:r>
        <w:t xml:space="preserve">Euros 70,022 (Record)</w:t>
      </w:r>
    </w:p>
    <w:p>
      <w:pPr>
        <w:pStyle w:val="BodyText"/>
      </w:pPr>
      <w:r>
        <w:t xml:space="preserve">September 19</w:t>
      </w:r>
    </w:p>
    <w:p>
      <w:pPr>
        <w:pStyle w:val="BodyText"/>
      </w:pPr>
      <w:r>
        <w:t xml:space="preserve">1,478</w:t>
      </w:r>
    </w:p>
    <w:p>
      <w:pPr>
        <w:pStyle w:val="BodyText"/>
      </w:pPr>
      <w:r>
        <w:t xml:space="preserve">Euros 68,345</w:t>
      </w:r>
    </w:p>
    <w:p>
      <w:pPr>
        <w:pStyle w:val="BodyText"/>
      </w:pPr>
      <w:r>
        <w:t xml:space="preserve">September 20</w:t>
      </w:r>
    </w:p>
    <w:p>
      <w:pPr>
        <w:pStyle w:val="BodyText"/>
      </w:pPr>
      <w:r>
        <w:t xml:space="preserve">1,350</w:t>
      </w:r>
    </w:p>
    <w:p>
      <w:pPr>
        <w:pStyle w:val="BodyText"/>
      </w:pPr>
      <w:r>
        <w:t xml:space="preserve">Euros 63,275 (Premium Package)</w:t>
      </w:r>
    </w:p>
    <w:p>
      <w:pPr>
        <w:pStyle w:val="BodyText"/>
      </w:pPr>
      <w:r>
        <w:t xml:space="preserve">Total</w:t>
      </w:r>
    </w:p>
    <w:p>
      <w:pPr>
        <w:pStyle w:val="BodyText"/>
      </w:pPr>
      <w:r>
        <w:t xml:space="preserve">8,450</w:t>
      </w:r>
    </w:p>
    <w:p>
      <w:pPr>
        <w:pStyle w:val="BodyText"/>
      </w:pPr>
      <w:r>
        <w:t xml:space="preserve">Euros 386,750</w:t>
      </w:r>
    </w:p>
    <w:bookmarkEnd w:id="21"/>
    <w:bookmarkEnd w:id="22"/>
    <w:bookmarkStart w:id="24" w:name="X830350333e8dd8c1444b81e514131e8cf851b4e"/>
    <w:p>
      <w:pPr>
        <w:pStyle w:val="Heading2"/>
      </w:pPr>
      <w:r>
        <w:t xml:space="preserve">Germany Munich Market Analysis: Why This Matters for the Musician</w:t>
      </w:r>
    </w:p>
    <w:p>
      <w:pPr>
        <w:pStyle w:val="FirstParagraph"/>
      </w:pPr>
      <w:r>
        <w:t xml:space="preserve">Munich's cultural economy generates €1.2 billion annually for music tourism (Munich Tourism 2023), making it Germany's second-most valuable market after Berlin. As a musician targeting German-speaking audiences, securing high-impact performances in Munich delivers disproportionate returns due to three unique factors:</w:t>
      </w:r>
    </w:p>
    <w:p>
      <w:pPr>
        <w:numPr>
          <w:ilvl w:val="0"/>
          <w:numId w:val="1001"/>
        </w:numPr>
        <w:pStyle w:val="Compact"/>
      </w:pPr>
      <w:r>
        <w:rPr>
          <w:bCs/>
          <w:b/>
        </w:rPr>
        <w:t xml:space="preserve">High-Value Audience Concentration:</w:t>
      </w:r>
      <w:r>
        <w:t xml:space="preserve"> </w:t>
      </w:r>
      <w:r>
        <w:t xml:space="preserve">Munich possesses Europe's highest density of high-net-worth individuals (HNWIs) per capita—12.8% above the German average—with 68% of concertgoers earning over €75,000 annually.</w:t>
      </w:r>
    </w:p>
    <w:p>
      <w:pPr>
        <w:numPr>
          <w:ilvl w:val="0"/>
          <w:numId w:val="1001"/>
        </w:numPr>
        <w:pStyle w:val="Compact"/>
      </w:pPr>
      <w:r>
        <w:rPr>
          <w:bCs/>
          <w:b/>
        </w:rPr>
        <w:t xml:space="preserve">Cultural Prestige Factor:</w:t>
      </w:r>
      <w:r>
        <w:t xml:space="preserve"> </w:t>
      </w:r>
      <w:r>
        <w:t xml:space="preserve">Events at Gasteig Philharmonic Hall carry significant social capital; securing bookings here elevates a musician's market positioning across all German territories.</w:t>
      </w:r>
    </w:p>
    <w:p>
      <w:pPr>
        <w:numPr>
          <w:ilvl w:val="0"/>
          <w:numId w:val="1001"/>
        </w:numPr>
        <w:pStyle w:val="Compact"/>
      </w:pPr>
      <w:r>
        <w:rPr>
          <w:bCs/>
          <w:b/>
        </w:rPr>
        <w:t xml:space="preserve">Commercial Multiplier Effect:</w:t>
      </w:r>
      <w:r>
        <w:t xml:space="preserve"> </w:t>
      </w:r>
      <w:r>
        <w:t xml:space="preserve">Munich concerts drive 3.2x higher merchandise sales than comparable German cities due to its strong collector culture.</w:t>
      </w:r>
    </w:p>
    <w:bookmarkStart w:id="23" w:name="Xf0199834df3ff709794231c8d7fe6c095da91c9"/>
    <w:p>
      <w:pPr>
        <w:pStyle w:val="Heading3"/>
      </w:pPr>
      <w:r>
        <w:t xml:space="preserve">Merchandise Sales Breakthrough in Germany Munich</w:t>
      </w:r>
    </w:p>
    <w:p>
      <w:pPr>
        <w:pStyle w:val="FirstParagraph"/>
      </w:pPr>
      <w:r>
        <w:t xml:space="preserve">The residency saw unprecedented merchandise conversion: 41% of attendees purchased at least one item, generating €82,500 in direct revenue—tripling previous German sales. This included:</w:t>
      </w:r>
    </w:p>
    <w:p>
      <w:pPr>
        <w:numPr>
          <w:ilvl w:val="0"/>
          <w:numId w:val="1002"/>
        </w:numPr>
        <w:pStyle w:val="Compact"/>
      </w:pPr>
      <w:r>
        <w:t xml:space="preserve">Exclusive vinyl editions (sold out within 72 hours)</w:t>
      </w:r>
    </w:p>
    <w:p>
      <w:pPr>
        <w:numPr>
          <w:ilvl w:val="0"/>
          <w:numId w:val="1002"/>
        </w:numPr>
        <w:pStyle w:val="Compact"/>
      </w:pPr>
      <w:r>
        <w:t xml:space="preserve">Premium silk scarves with Munich skyline embroidery (bestseller)</w:t>
      </w:r>
    </w:p>
    <w:p>
      <w:pPr>
        <w:numPr>
          <w:ilvl w:val="0"/>
          <w:numId w:val="1002"/>
        </w:numPr>
        <w:pStyle w:val="Compact"/>
      </w:pPr>
      <w:r>
        <w:t xml:space="preserve">Personalized autograph packages (+€150 premium) for 28% of buyers</w:t>
      </w:r>
    </w:p>
    <w:p>
      <w:pPr>
        <w:pStyle w:val="FirstParagraph"/>
      </w:pPr>
      <w:r>
        <w:rPr>
          <w:bCs/>
          <w:b/>
        </w:rPr>
        <w:t xml:space="preserve">Critical Observation:</w:t>
      </w:r>
      <w:r>
        <w:t xml:space="preserve"> </w:t>
      </w:r>
      <w:r>
        <w:t xml:space="preserve">The musician's strategic investment in Munich-specific merchandise (featuring Bavarian cultural motifs) directly contributed to the 76% repeat purchase rate among German fans—a metric critical for long-term market penetration.</w:t>
      </w:r>
    </w:p>
    <w:bookmarkEnd w:id="23"/>
    <w:bookmarkEnd w:id="24"/>
    <w:bookmarkStart w:id="26" w:name="competitive-landscape-market-positioning"/>
    <w:p>
      <w:pPr>
        <w:pStyle w:val="Heading2"/>
      </w:pPr>
      <w:r>
        <w:t xml:space="preserve">Competitive Landscape &amp; Market Positioning</w:t>
      </w:r>
    </w:p>
    <w:p>
      <w:pPr>
        <w:pStyle w:val="FirstParagraph"/>
      </w:pPr>
      <w:r>
        <w:t xml:space="preserve">The Sales Report reveals that Volkov now holds a unique competitive advantage in Germany Munich. While competitors like Anna Netrebko command similar ticket prices, they lack the localized cultural resonance achieved through:</w:t>
      </w:r>
    </w:p>
    <w:p>
      <w:pPr>
        <w:numPr>
          <w:ilvl w:val="0"/>
          <w:numId w:val="1003"/>
        </w:numPr>
        <w:pStyle w:val="Compact"/>
      </w:pPr>
      <w:r>
        <w:t xml:space="preserve">Collaboration with local institutions (Munich Philharmonic Orchestra)</w:t>
      </w:r>
    </w:p>
    <w:p>
      <w:pPr>
        <w:numPr>
          <w:ilvl w:val="0"/>
          <w:numId w:val="1003"/>
        </w:numPr>
        <w:pStyle w:val="Compact"/>
      </w:pPr>
      <w:r>
        <w:t xml:space="preserve">Customized programming blending Russian classical repertoire with Bavarian folk elements</w:t>
      </w:r>
    </w:p>
    <w:p>
      <w:pPr>
        <w:numPr>
          <w:ilvl w:val="0"/>
          <w:numId w:val="1003"/>
        </w:numPr>
        <w:pStyle w:val="Compact"/>
      </w:pPr>
      <w:r>
        <w:t xml:space="preserve">Premium "Munich Experience" add-ons including post-concert wine pairing</w:t>
      </w:r>
    </w:p>
    <w:bookmarkStart w:id="25" w:name="customer-sentiment-analysis-munich-focus"/>
    <w:p>
      <w:pPr>
        <w:pStyle w:val="Heading3"/>
      </w:pPr>
      <w:r>
        <w:t xml:space="preserve">Customer Sentiment Analysis (Munich Focus)</w:t>
      </w:r>
    </w:p>
    <w:p>
      <w:pPr>
        <w:pStyle w:val="FirstParagraph"/>
      </w:pPr>
      <w:r>
        <w:t xml:space="preserve">A 420-person survey conducted at the venue revealed:</w:t>
      </w:r>
    </w:p>
    <w:p>
      <w:pPr>
        <w:numPr>
          <w:ilvl w:val="0"/>
          <w:numId w:val="1004"/>
        </w:numPr>
        <w:pStyle w:val="Compact"/>
      </w:pPr>
      <w:r>
        <w:t xml:space="preserve">92% cited "cultural authenticity" as key purchasing factor</w:t>
      </w:r>
    </w:p>
    <w:p>
      <w:pPr>
        <w:numPr>
          <w:ilvl w:val="0"/>
          <w:numId w:val="1004"/>
        </w:numPr>
        <w:pStyle w:val="Compact"/>
      </w:pPr>
      <w:r>
        <w:t xml:space="preserve">87% stated they'd attend future Munich shows based on this experience</w:t>
      </w:r>
    </w:p>
    <w:p>
      <w:pPr>
        <w:numPr>
          <w:ilvl w:val="0"/>
          <w:numId w:val="1004"/>
        </w:numPr>
        <w:pStyle w:val="Compact"/>
      </w:pPr>
      <w:r>
        <w:t xml:space="preserve">"The Bavarian connection made it feel personal," noted one attendee—a common theme in 43/50 open comments</w:t>
      </w:r>
    </w:p>
    <w:bookmarkEnd w:id="25"/>
    <w:bookmarkEnd w:id="26"/>
    <w:bookmarkStart w:id="27" w:name="Xebc13587fa48ce24df91c2bea30740487c639a4"/>
    <w:p>
      <w:pPr>
        <w:pStyle w:val="Heading2"/>
      </w:pPr>
      <w:r>
        <w:t xml:space="preserve">Recommendations for Musician Expansion in Germany Munich</w:t>
      </w:r>
    </w:p>
    <w:p>
      <w:pPr>
        <w:pStyle w:val="FirstParagraph"/>
      </w:pPr>
      <w:r>
        <w:t xml:space="preserve">This Sales Report validates that Germany Munich is not merely a stop on the tour itinerary but a strategic market requiring dedicated development. We recommend:</w:t>
      </w:r>
    </w:p>
    <w:p>
      <w:pPr>
        <w:numPr>
          <w:ilvl w:val="0"/>
          <w:numId w:val="1005"/>
        </w:numPr>
        <w:pStyle w:val="Compact"/>
      </w:pPr>
      <w:r>
        <w:rPr>
          <w:bCs/>
          <w:b/>
        </w:rPr>
        <w:t xml:space="preserve">Establish Permanent Munich Creative Hub:</w:t>
      </w:r>
      <w:r>
        <w:t xml:space="preserve"> </w:t>
      </w:r>
      <w:r>
        <w:t xml:space="preserve">Open a small office at Gasteig to manage local partnerships and tailor future performances. Estimated ROI: 24 months.</w:t>
      </w:r>
    </w:p>
    <w:p>
      <w:pPr>
        <w:numPr>
          <w:ilvl w:val="0"/>
          <w:numId w:val="1005"/>
        </w:numPr>
        <w:pStyle w:val="Compact"/>
      </w:pPr>
      <w:r>
        <w:rPr>
          <w:bCs/>
          <w:b/>
        </w:rPr>
        <w:t xml:space="preserve">Develop Munich-Specific Touring Package:</w:t>
      </w:r>
      <w:r>
        <w:t xml:space="preserve"> </w:t>
      </w:r>
      <w:r>
        <w:t xml:space="preserve">Create a signature "Bavaria Suite" with exclusive venues (e.g., Nymphenburg Palace gardens) for seasonal engagements.</w:t>
      </w:r>
    </w:p>
    <w:p>
      <w:pPr>
        <w:numPr>
          <w:ilvl w:val="0"/>
          <w:numId w:val="1005"/>
        </w:numPr>
        <w:pStyle w:val="Compact"/>
      </w:pPr>
      <w:r>
        <w:rPr>
          <w:bCs/>
          <w:b/>
        </w:rPr>
        <w:t xml:space="preserve">Leverage Munich Media Partnerships:</w:t>
      </w:r>
      <w:r>
        <w:t xml:space="preserve"> </w:t>
      </w:r>
      <w:r>
        <w:t xml:space="preserve">Secure quarterly features in Bayerischer Rundfunk (Munich's leading cultural broadcaster) to maintain audience engagement between tours.</w:t>
      </w:r>
    </w:p>
    <w:bookmarkEnd w:id="27"/>
    <w:bookmarkStart w:id="28" w:name="X8eeb6f80289b1488f78c92518ef35f6d28f916e"/>
    <w:p>
      <w:pPr>
        <w:pStyle w:val="Heading2"/>
      </w:pPr>
      <w:r>
        <w:t xml:space="preserve">Conclusion: The Munich Advantage for the Musician</w:t>
      </w:r>
    </w:p>
    <w:p>
      <w:pPr>
        <w:pStyle w:val="FirstParagraph"/>
      </w:pPr>
      <w:r>
        <w:t xml:space="preserve">The Sales Report conclusively demonstrates that Germany Munich delivers exceptional returns for a musician of Volkov's caliber. This engagement wasn't just profitable—it redefined market expectations, proving that cultural authenticity combined with strategic localization drives revenue beyond conventional touring models. With 38% of Munich's concertgoers booking travel specifically for artist performances (vs. 22% nationally), the city represents an unparalleled gateway to German-speaking markets.</w:t>
      </w:r>
    </w:p>
    <w:p>
      <w:pPr>
        <w:pStyle w:val="BodyText"/>
      </w:pPr>
      <w:r>
        <w:t xml:space="preserve">For any musician seeking sustainable growth in Europe, Germany Munich isn't just a location—it's a cultural engine. The data from this residency confirms that when artists invest deeply in Munich's unique ecosystem, they transform from touring performers into permanent fixtures within the city's artistic identity. This Sales Report provides the roadmap: continue prioritizing Germany Munich as both a revenue center and brand-building cornerstone for long-term success.</w:t>
      </w:r>
    </w:p>
    <w:p>
      <w:pPr>
        <w:pStyle w:val="BodyText"/>
      </w:pPr>
      <w:r>
        <w:rPr>
          <w:bCs/>
          <w:b/>
        </w:rPr>
        <w:t xml:space="preserve">Final Recommendation:</w:t>
      </w:r>
      <w:r>
        <w:t xml:space="preserve"> </w:t>
      </w:r>
      <w:r>
        <w:t xml:space="preserve">Allocate 40% of next year's German marketing budget exclusively to Munich initiatives, with targets to increase residency duration from 6 to 12 performances and achieve €580,000+ gross revenue by Q3 2024.</w:t>
      </w:r>
    </w:p>
    <w:p>
      <w:pPr>
        <w:pStyle w:val="BodyText"/>
      </w:pPr>
      <w:r>
        <w:t xml:space="preserve">© 2023 International Artist Management | Confirmed Sales Data: Gasteig Cultural Center &amp; Munich Tourism Board</w:t>
      </w:r>
    </w:p>
    <w:p>
      <w:pPr>
        <w:pStyle w:val="BodyText"/>
      </w:pPr>
      <w:r>
        <w:t xml:space="preserve">This Sales Report is a confidential document for internal use only. Unauthorized distribution prohibited.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Germany Munich Market Performance</dc:title>
  <dc:creator/>
  <dc:language>en</dc:language>
  <cp:keywords/>
  <dcterms:created xsi:type="dcterms:W3CDTF">2026-07-21T02:20:53Z</dcterms:created>
  <dcterms:modified xsi:type="dcterms:W3CDTF">2026-07-21T02:20:53Z</dcterms:modified>
</cp:coreProperties>
</file>

<file path=docProps/custom.xml><?xml version="1.0" encoding="utf-8"?>
<Properties xmlns="http://schemas.openxmlformats.org/officeDocument/2006/custom-properties" xmlns:vt="http://schemas.openxmlformats.org/officeDocument/2006/docPropsVTypes"/>
</file>