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75321cb4ea074262c36c46a5ce09a5ccbf5c648"/>
    <w:p>
      <w:pPr>
        <w:pStyle w:val="Heading1"/>
      </w:pPr>
      <w:r>
        <w:t xml:space="preserve">Sales Report: Comprehensive Performance Analysis for Musician in Israel Tel Aviv</w:t>
      </w:r>
    </w:p>
    <w:bookmarkStart w:id="20" w:name="executive-summary"/>
    <w:p>
      <w:pPr>
        <w:pStyle w:val="Heading2"/>
      </w:pPr>
      <w:r>
        <w:t xml:space="preserve">Executive Summary</w:t>
      </w:r>
    </w:p>
    <w:p>
      <w:pPr>
        <w:pStyle w:val="FirstParagraph"/>
      </w:pPr>
      <w:r>
        <w:t xml:space="preserve">This Sales Report provides an in-depth analysis of performance revenue streams, audience engagement metrics, and market positioning for a professional Musician operating exclusively within the vibrant cultural ecosystem of Israel Tel Aviv. Covering Q1-Q3 2023, this document confirms Tel Aviv as the most lucrative metropolitan market for live music revenue in Israel, generating 78% of total national sales through strategic venue partnerships, digital engagement initiatives, and targeted community integration. The Musician has demonstrated exceptional growth potential within Tel Aviv's dynamic entertainment landscape, achieving a 42% year-over-year increase in overall revenue despite regional economic volatility.</w:t>
      </w:r>
    </w:p>
    <w:bookmarkEnd w:id="20"/>
    <w:bookmarkStart w:id="21" w:name="X02fbbcec06afc0ef99b74d5d5ed871bc60ce30a"/>
    <w:p>
      <w:pPr>
        <w:pStyle w:val="Heading2"/>
      </w:pPr>
      <w:r>
        <w:t xml:space="preserve">Revenue Stream Breakdown: Tel Aviv Market Dominance</w:t>
      </w:r>
    </w:p>
    <w:p>
      <w:pPr>
        <w:pStyle w:val="FirstParagraph"/>
      </w:pPr>
      <w:r>
        <w:t xml:space="preserve">Israel Tel Aviv consistently delivers the highest per-venue revenue conversion rate among all Israeli cities. Our analysis reveals:</w:t>
      </w:r>
    </w:p>
    <w:p>
      <w:pPr>
        <w:numPr>
          <w:ilvl w:val="0"/>
          <w:numId w:val="1001"/>
        </w:numPr>
        <w:pStyle w:val="Compact"/>
      </w:pPr>
      <w:r>
        <w:rPr>
          <w:bCs/>
          <w:b/>
        </w:rPr>
        <w:t xml:space="preserve">Live Performance Revenue (63% of total):</w:t>
      </w:r>
      <w:r>
        <w:t xml:space="preserve"> </w:t>
      </w:r>
      <w:r>
        <w:t xml:space="preserve">148 shows across 27 premier Tel Aviv venues including the iconic Bimola, The Heichal Hatarbut, and Jaffa's historic Hamashbir. Average ticket price: ₪155 (up 18% YoY), with VIP package sales accounting for 37% of total venue revenue.</w:t>
      </w:r>
    </w:p>
    <w:p>
      <w:pPr>
        <w:numPr>
          <w:ilvl w:val="0"/>
          <w:numId w:val="1001"/>
        </w:numPr>
        <w:pStyle w:val="Compact"/>
      </w:pPr>
      <w:r>
        <w:rPr>
          <w:bCs/>
          <w:b/>
        </w:rPr>
        <w:t xml:space="preserve">Merchandise Sales (22% of total):</w:t>
      </w:r>
      <w:r>
        <w:t xml:space="preserve"> </w:t>
      </w:r>
      <w:r>
        <w:t xml:space="preserve">Tel Aviv tourists drove exceptional merchandise conversion rates (47% vs. national average 31%). Key products included limited-edition Tel Aviv skyline vinyl and "Shalom" band tees, with Jaffa's Old City boutiques generating 65% of non-venue sales.</w:t>
      </w:r>
    </w:p>
    <w:p>
      <w:pPr>
        <w:numPr>
          <w:ilvl w:val="0"/>
          <w:numId w:val="1001"/>
        </w:numPr>
        <w:pStyle w:val="Compact"/>
      </w:pPr>
      <w:r>
        <w:rPr>
          <w:bCs/>
          <w:b/>
        </w:rPr>
        <w:t xml:space="preserve">Digital Content &amp; Streaming (15% of total):</w:t>
      </w:r>
      <w:r>
        <w:t xml:space="preserve"> </w:t>
      </w:r>
      <w:r>
        <w:t xml:space="preserve">Localized social media campaigns targeting Tel Aviv residents achieved 287% higher engagement than national averages. The "Tel Aviv Sunset Sessions" Instagram series garnered 1.2M views, directly translating to a 34% spike in digital concert ticket pre-sales.</w:t>
      </w:r>
    </w:p>
    <w:bookmarkEnd w:id="21"/>
    <w:bookmarkStart w:id="22" w:name="X951e61cf1b18bc319fc7d21a531c2cf2cebf1e7"/>
    <w:p>
      <w:pPr>
        <w:pStyle w:val="Heading2"/>
      </w:pPr>
      <w:r>
        <w:t xml:space="preserve">Market Insights: Why Israel Tel Aviv Outperforms</w:t>
      </w:r>
    </w:p>
    <w:p>
      <w:pPr>
        <w:pStyle w:val="FirstParagraph"/>
      </w:pPr>
      <w:r>
        <w:t xml:space="preserve">Our Sales Report identifies three critical factors driving Tel Aviv's exceptional performance for the Musician:</w:t>
      </w:r>
    </w:p>
    <w:p>
      <w:pPr>
        <w:numPr>
          <w:ilvl w:val="0"/>
          <w:numId w:val="1002"/>
        </w:numPr>
        <w:pStyle w:val="Compact"/>
      </w:pPr>
      <w:r>
        <w:rPr>
          <w:bCs/>
          <w:b/>
        </w:rPr>
        <w:t xml:space="preserve">Cultural Infrastructure:</w:t>
      </w:r>
      <w:r>
        <w:t xml:space="preserve"> </w:t>
      </w:r>
      <w:r>
        <w:t xml:space="preserve">Tel Aviv's density of 87 licensed live music venues per 100,000 residents (compared to Israel's national average of 32) creates unparalleled accessibility. The city's "Cultural Pass" initiative subsidizes artist fees for municipal venues, increasing our show count by 41% in Q2 alone.</w:t>
      </w:r>
    </w:p>
    <w:p>
      <w:pPr>
        <w:numPr>
          <w:ilvl w:val="0"/>
          <w:numId w:val="1002"/>
        </w:numPr>
        <w:pStyle w:val="Compact"/>
      </w:pPr>
      <w:r>
        <w:rPr>
          <w:bCs/>
          <w:b/>
        </w:rPr>
        <w:t xml:space="preserve">Demographic Alignment:</w:t>
      </w:r>
      <w:r>
        <w:t xml:space="preserve"> </w:t>
      </w:r>
      <w:r>
        <w:t xml:space="preserve">Tel Aviv's young, cosmopolitan population (68% aged 18-35) matches the Musician's core audience. Data shows Tel Aviv residents attend live music 3.2x more frequently than national average, with a particularly strong demand for fusion genres blending Middle Eastern and electronic elements.</w:t>
      </w:r>
    </w:p>
    <w:p>
      <w:pPr>
        <w:numPr>
          <w:ilvl w:val="0"/>
          <w:numId w:val="1002"/>
        </w:numPr>
        <w:pStyle w:val="Compact"/>
      </w:pPr>
      <w:r>
        <w:rPr>
          <w:bCs/>
          <w:b/>
        </w:rPr>
        <w:t xml:space="preserve">Seasonal Synergy:</w:t>
      </w:r>
      <w:r>
        <w:t xml:space="preserve"> </w:t>
      </w:r>
      <w:r>
        <w:t xml:space="preserve">The city's peak tourism season (March-June) correlates directly with our highest sales periods. The "Tel Aviv Jazz Festival" partnership in May generated ₪215,000 in revenue from a single 4-day residency, demonstrating how festival integration amplifies individual show profitability.</w:t>
      </w:r>
    </w:p>
    <w:bookmarkEnd w:id="22"/>
    <w:bookmarkStart w:id="23" w:name="challenges-and-strategic-adaptations"/>
    <w:p>
      <w:pPr>
        <w:pStyle w:val="Heading2"/>
      </w:pPr>
      <w:r>
        <w:t xml:space="preserve">Challenges and Strategic Adaptations</w:t>
      </w:r>
    </w:p>
    <w:p>
      <w:pPr>
        <w:pStyle w:val="FirstParagraph"/>
      </w:pPr>
      <w:r>
        <w:t xml:space="preserve">Despite strong performance, our Sales Report identifies two key challenges specific to Israel Tel Aviv operations:</w:t>
      </w:r>
    </w:p>
    <w:p>
      <w:pPr>
        <w:numPr>
          <w:ilvl w:val="0"/>
          <w:numId w:val="1003"/>
        </w:numPr>
        <w:pStyle w:val="Compact"/>
      </w:pPr>
      <w:r>
        <w:rPr>
          <w:bCs/>
          <w:b/>
        </w:rPr>
        <w:t xml:space="preserve">Logistical Complexity:</w:t>
      </w:r>
      <w:r>
        <w:t xml:space="preserve"> </w:t>
      </w:r>
      <w:r>
        <w:t xml:space="preserve">Venue permits in Tel Aviv require 45-day advance processing (vs. 15 days in Haifa), impacting show scheduling flexibility. Our solution: Partnered with the Tel Aviv Music Council to establish a "Rapid Permit" channel, reducing approval time by 73% and enabling last-minute event pivots.</w:t>
      </w:r>
    </w:p>
    <w:p>
      <w:pPr>
        <w:numPr>
          <w:ilvl w:val="0"/>
          <w:numId w:val="1003"/>
        </w:numPr>
        <w:pStyle w:val="Compact"/>
      </w:pPr>
      <w:r>
        <w:rPr>
          <w:bCs/>
          <w:b/>
        </w:rPr>
        <w:t xml:space="preserve">Competitive Saturation:</w:t>
      </w:r>
      <w:r>
        <w:t xml:space="preserve"> </w:t>
      </w:r>
      <w:r>
        <w:t xml:space="preserve">Over 210 live acts compete for attention in Tel Aviv. The Musician countered this through hyper-localized marketing: Collaborating with popular Tel Aviv influencers like @TelAvivVibes for "Hidden Gem" venue tours, resulting in 39% of new ticket buyers being first-time attendees.</w:t>
      </w:r>
    </w:p>
    <w:bookmarkEnd w:id="23"/>
    <w:bookmarkStart w:id="24" w:name="Xe1a25b1a3495697d45f0f4172f804d2afd1f03d"/>
    <w:p>
      <w:pPr>
        <w:pStyle w:val="Heading2"/>
      </w:pPr>
      <w:r>
        <w:t xml:space="preserve">Revenue Growth Projections for Israel Tel Aviv</w:t>
      </w:r>
    </w:p>
    <w:p>
      <w:pPr>
        <w:pStyle w:val="FirstParagraph"/>
      </w:pPr>
      <w:r>
        <w:t xml:space="preserve">Based on current trends and market saturation data, our Sales Report forecasts 58% growth for the Musician in Tel Aviv by Q4 2023 through three initiatives:</w:t>
      </w:r>
    </w:p>
    <w:p>
      <w:pPr>
        <w:numPr>
          <w:ilvl w:val="0"/>
          <w:numId w:val="1004"/>
        </w:numPr>
        <w:pStyle w:val="Compact"/>
      </w:pPr>
      <w:r>
        <w:rPr>
          <w:bCs/>
          <w:b/>
        </w:rPr>
        <w:t xml:space="preserve">Pop-Up "Neighborhood Series":</w:t>
      </w:r>
      <w:r>
        <w:t xml:space="preserve"> </w:t>
      </w:r>
      <w:r>
        <w:t xml:space="preserve">Targeting under-attended districts like Florentin and Neve Tzedek with intimate performances (100-person capacity) to capture local audience loyalty. Pilot events generated ₪8,200/night vs. venue average of ₪5,400.</w:t>
      </w:r>
    </w:p>
    <w:p>
      <w:pPr>
        <w:numPr>
          <w:ilvl w:val="0"/>
          <w:numId w:val="1004"/>
        </w:numPr>
        <w:pStyle w:val="Compact"/>
      </w:pPr>
      <w:r>
        <w:rPr>
          <w:bCs/>
          <w:b/>
        </w:rPr>
        <w:t xml:space="preserve">Corporate Partnership Expansion:</w:t>
      </w:r>
      <w:r>
        <w:t xml:space="preserve"> </w:t>
      </w:r>
      <w:r>
        <w:t xml:space="preserve">Securing Tel Aviv tech startups (e.g., Waze, Fiverr HQ) for private "Soundtrack to Innovation" events. Three corporate bookings in Q3 yielded 27% higher revenue per show than public venues.</w:t>
      </w:r>
    </w:p>
    <w:p>
      <w:pPr>
        <w:numPr>
          <w:ilvl w:val="0"/>
          <w:numId w:val="1004"/>
        </w:numPr>
        <w:pStyle w:val="Compact"/>
      </w:pPr>
      <w:r>
        <w:rPr>
          <w:bCs/>
          <w:b/>
        </w:rPr>
        <w:t xml:space="preserve">Tel Aviv Music Festival Participation:</w:t>
      </w:r>
      <w:r>
        <w:t xml:space="preserve"> </w:t>
      </w:r>
      <w:r>
        <w:t xml:space="preserve">Securing a mainstage slot at the 2024 Tel Aviv International Music Festival (projected 15,000+ attendees), expected to drive ₪315,000 in direct sales and 8 months of sustained digital engagement.</w:t>
      </w:r>
    </w:p>
    <w:bookmarkEnd w:id="24"/>
    <w:bookmarkStart w:id="25" w:name="competitive-positioning-analysis"/>
    <w:p>
      <w:pPr>
        <w:pStyle w:val="Heading2"/>
      </w:pPr>
      <w:r>
        <w:t xml:space="preserve">Competitive Positioning Analysis</w:t>
      </w:r>
    </w:p>
    <w:p>
      <w:pPr>
        <w:pStyle w:val="FirstParagraph"/>
      </w:pPr>
      <w:r>
        <w:t xml:space="preserve">The Sales Report confirms the Musician's unique value proposition within Israel Tel Aviv's market:</w:t>
      </w:r>
    </w:p>
    <w:p>
      <w:pPr>
        <w:pStyle w:val="BodyText"/>
      </w:pPr>
      <w:r>
        <w:t xml:space="preserve">Competitor Metric</w:t>
      </w:r>
    </w:p>
    <w:p>
      <w:pPr>
        <w:pStyle w:val="BodyText"/>
      </w:pPr>
      <w:r>
        <w:t xml:space="preserve">Musician (Tel Aviv)</w:t>
      </w:r>
    </w:p>
    <w:p>
      <w:pPr>
        <w:pStyle w:val="BodyText"/>
      </w:pPr>
      <w:r>
        <w:t xml:space="preserve">Average Israeli Musician</w:t>
      </w:r>
    </w:p>
    <w:p>
      <w:pPr>
        <w:pStyle w:val="BodyText"/>
      </w:pPr>
      <w:r>
        <w:t xml:space="preserve">Audience Retention Rate</w:t>
      </w:r>
    </w:p>
    <w:p>
      <w:pPr>
        <w:pStyle w:val="BodyText"/>
      </w:pPr>
      <w:r>
        <w:t xml:space="preserve">68%</w:t>
      </w:r>
    </w:p>
    <w:p>
      <w:pPr>
        <w:pStyle w:val="BodyText"/>
      </w:pPr>
      <w:r>
        <w:t xml:space="preserve">49%</w:t>
      </w:r>
    </w:p>
    <w:p>
      <w:pPr>
        <w:pStyle w:val="BodyText"/>
      </w:pPr>
      <w:r>
        <w:t xml:space="preserve">Tel Aviv Tourist Conversion Rate</w:t>
      </w:r>
    </w:p>
    <w:p>
      <w:pPr>
        <w:pStyle w:val="BodyText"/>
      </w:pPr>
      <w:r>
        <w:t xml:space="preserve">53%</w:t>
      </w:r>
    </w:p>
    <w:p>
      <w:pPr>
        <w:pStyle w:val="BodyText"/>
      </w:pPr>
      <w:r>
        <w:t xml:space="preserve">28%</w:t>
      </w:r>
    </w:p>
    <w:p>
      <w:pPr>
        <w:pStyle w:val="BodyText"/>
      </w:pPr>
      <w:r>
        <w:t xml:space="preserve">Venue Revenue Per Show (₪)</w:t>
      </w:r>
    </w:p>
    <w:p>
      <w:pPr>
        <w:pStyle w:val="BodyText"/>
      </w:pPr>
      <w:r>
        <w:t xml:space="preserve">14,800</w:t>
      </w:r>
    </w:p>
    <w:p>
      <w:pPr>
        <w:pStyle w:val="BodyText"/>
      </w:pPr>
      <w:r>
        <w:t xml:space="preserve">9,200</w:t>
      </w:r>
    </w:p>
    <w:p>
      <w:pPr>
        <w:pStyle w:val="BodyText"/>
      </w:pPr>
      <w:r>
        <w:t xml:space="preserve">Social Media Engagement Rate (Tel Aviv)</w:t>
      </w:r>
    </w:p>
    <w:p>
      <w:pPr>
        <w:pStyle w:val="BodyText"/>
      </w:pPr>
      <w:r>
        <w:t xml:space="preserve">15.7%</w:t>
      </w:r>
    </w:p>
    <w:p>
      <w:pPr>
        <w:pStyle w:val="BodyText"/>
      </w:pPr>
      <w:r>
        <w:t xml:space="preserve">6.3%</w:t>
      </w:r>
    </w:p>
    <w:bookmarkEnd w:id="25"/>
    <w:bookmarkStart w:id="26" w:name="strategic-recommendations-for-2024"/>
    <w:p>
      <w:pPr>
        <w:pStyle w:val="Heading2"/>
      </w:pPr>
      <w:r>
        <w:t xml:space="preserve">Strategic Recommendations for 2024</w:t>
      </w:r>
    </w:p>
    <w:p>
      <w:pPr>
        <w:pStyle w:val="FirstParagraph"/>
      </w:pPr>
      <w:r>
        <w:t xml:space="preserve">This Sales Report concludes with three actionable recommendations to maximize the Musician's Israel Tel Aviv market dominance:</w:t>
      </w:r>
    </w:p>
    <w:p>
      <w:pPr>
        <w:numPr>
          <w:ilvl w:val="0"/>
          <w:numId w:val="1005"/>
        </w:numPr>
        <w:pStyle w:val="Compact"/>
      </w:pPr>
      <w:r>
        <w:rPr>
          <w:bCs/>
          <w:b/>
        </w:rPr>
        <w:t xml:space="preserve">Establish a Permanent Tel Aviv Creative Hub:</w:t>
      </w:r>
      <w:r>
        <w:t xml:space="preserve"> </w:t>
      </w:r>
      <w:r>
        <w:t xml:space="preserve">Secure dedicated rehearsal/sales space in Florentin (cost: ₪85,000 annually) to reduce venue transition costs and enable community workshops, directly addressing the #1 pain point identified in artist surveys.</w:t>
      </w:r>
    </w:p>
    <w:p>
      <w:pPr>
        <w:numPr>
          <w:ilvl w:val="0"/>
          <w:numId w:val="1005"/>
        </w:numPr>
        <w:pStyle w:val="Compact"/>
      </w:pPr>
      <w:r>
        <w:rPr>
          <w:bCs/>
          <w:b/>
        </w:rPr>
        <w:t xml:space="preserve">Leverage Government Incentives:</w:t>
      </w:r>
      <w:r>
        <w:t xml:space="preserve"> </w:t>
      </w:r>
      <w:r>
        <w:t xml:space="preserve">Apply for Israel Ministry of Culture's "Tel Aviv Live" grant (covers 40% of production costs) for new show development, projected to increase net revenue by 23% based on pilot program data.</w:t>
      </w:r>
    </w:p>
    <w:p>
      <w:pPr>
        <w:numPr>
          <w:ilvl w:val="0"/>
          <w:numId w:val="1005"/>
        </w:numPr>
        <w:pStyle w:val="Compact"/>
      </w:pPr>
      <w:r>
        <w:rPr>
          <w:bCs/>
          <w:b/>
        </w:rPr>
        <w:t xml:space="preserve">Develop Tel Aviv-Specific Content Series:</w:t>
      </w:r>
      <w:r>
        <w:t xml:space="preserve"> </w:t>
      </w:r>
      <w:r>
        <w:t xml:space="preserve">Create "Mizrahi Meets Modern" documentary series chronicling the Musician's fusion performances across Tel Aviv neighborhoods, targeting local streaming platforms (e.g., WIZZ) with exclusive content to boost year-round engagement.</w:t>
      </w:r>
    </w:p>
    <w:bookmarkEnd w:id="26"/>
    <w:bookmarkStart w:id="27" w:name="conclusion-the-tel-aviv-advantage"/>
    <w:p>
      <w:pPr>
        <w:pStyle w:val="Heading2"/>
      </w:pPr>
      <w:r>
        <w:t xml:space="preserve">Conclusion: The Tel Aviv Advantage</w:t>
      </w:r>
    </w:p>
    <w:p>
      <w:pPr>
        <w:pStyle w:val="FirstParagraph"/>
      </w:pPr>
      <w:r>
        <w:t xml:space="preserve">The data in this Sales Report unequivocally demonstrates that Israel Tel Aviv is not merely a significant market for the Musician—it is the strategic engine driving 78% of our national revenue growth. Our localized approach, cultural authenticity, and deep integration into Tel Aviv's artistic ecosystem have created an unmatchable competitive moat. As noted by the Tel Aviv Cultural Directorate: "The Musician has redefined community-centric engagement in Israel's live music sector." With continued focus on neighborhood-level partnerships and leveraging Tel Aviv's unparalleled infrastructure, this Sales Report projects sustained 50%+ annual revenue growth trajectory specifically for the Israel Tel Aviv market through 2025. The future of this Musician's success is inextricably linked to the vibrant pulse of Israel's cultural capital.</w:t>
      </w:r>
    </w:p>
    <w:p>
      <w:pPr>
        <w:pStyle w:val="BodyText"/>
      </w:pPr>
      <w:r>
        <w:rPr>
          <w:iCs/>
          <w:i/>
        </w:rPr>
        <w:t xml:space="preserve">Report Compiled by: Tel Aviv Market Intelligence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Israel Tel Aviv Market Analysis</dc:title>
  <dc:creator/>
  <dc:language>en</dc:language>
  <cp:keywords/>
  <dcterms:created xsi:type="dcterms:W3CDTF">2026-07-23T16:51:23Z</dcterms:created>
  <dcterms:modified xsi:type="dcterms:W3CDTF">2026-07-23T16:51:23Z</dcterms:modified>
</cp:coreProperties>
</file>

<file path=docProps/custom.xml><?xml version="1.0" encoding="utf-8"?>
<Properties xmlns="http://schemas.openxmlformats.org/officeDocument/2006/custom-properties" xmlns:vt="http://schemas.openxmlformats.org/officeDocument/2006/docPropsVTypes"/>
</file>