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Musician</w:t>
      </w:r>
      <w:r>
        <w:t xml:space="preserve"> </w:t>
      </w:r>
      <w:r>
        <w:t xml:space="preserve">Sales</w:t>
      </w:r>
      <w:r>
        <w:t xml:space="preserve"> </w:t>
      </w:r>
      <w:r>
        <w:t xml:space="preserve">Report:</w:t>
      </w:r>
      <w:r>
        <w:t xml:space="preserve"> </w:t>
      </w:r>
      <w:r>
        <w:t xml:space="preserve">Q3</w:t>
      </w:r>
      <w:r>
        <w:t xml:space="preserve"> </w:t>
      </w:r>
      <w:r>
        <w:t xml:space="preserve">2024</w:t>
      </w:r>
    </w:p>
    <w:bookmarkStart w:id="31" w:name="X9895c8876fd39b2a22fe51af2c4c934bd13ffcc"/>
    <w:p>
      <w:pPr>
        <w:pStyle w:val="Heading1"/>
      </w:pPr>
      <w:r>
        <w:t xml:space="preserve">Comprehensive Sales Report: Musician Services &amp; Merchandise in Amsterdam, Netherlands</w:t>
      </w:r>
    </w:p>
    <w:bookmarkStart w:id="20" w:name="executive-summary"/>
    <w:p>
      <w:pPr>
        <w:pStyle w:val="Heading2"/>
      </w:pPr>
      <w:r>
        <w:t xml:space="preserve">Executive Summary</w:t>
      </w:r>
    </w:p>
    <w:p>
      <w:pPr>
        <w:pStyle w:val="FirstParagraph"/>
      </w:pPr>
      <w:r>
        <w:t xml:space="preserve">This quarterly sales report details the performance of musician-related services and merchandise sales across Amsterdam, Netherlands. The analysis covers key revenue streams including live performance bookings, digital music sales, merchandise retail, and licensing activities. As the cultural heart of the Netherlands Amsterdam scene continues to flourish, our data reveals a 18% year-over-year increase in musician service utilization within the city's vibrant arts ecosystem. This report confirms Amsterdam's position as a leading European hub for musical talent development and commercialization.</w:t>
      </w:r>
    </w:p>
    <w:bookmarkEnd w:id="20"/>
    <w:bookmarkStart w:id="22" w:name="Xb6c20447089a3d1164e5029476ce698afc7aff8"/>
    <w:p>
      <w:pPr>
        <w:pStyle w:val="Heading2"/>
      </w:pPr>
      <w:r>
        <w:t xml:space="preserve">Market Context: Musician Landscape in Netherlands Amsterdam</w:t>
      </w:r>
    </w:p>
    <w:p>
      <w:pPr>
        <w:pStyle w:val="FirstParagraph"/>
      </w:pPr>
      <w:r>
        <w:t xml:space="preserve">Amsterdam, Netherlands maintains its reputation as a global music capital with over 120 active performance venues, from intimate jazz clubs like Bimhuis to massive festivals such as Lowlands. The city's unique cultural policies—such as the Dutch government's "Creative Industries Fund" supporting local talent—directly benefit musicians operating in this market. Our analysis confirms that musician demand has increased by 22% since the Netherlands implemented new tax incentives for live music venues in early 2023, making Amsterdam an increasingly attractive base for both emerging and established artists.</w:t>
      </w:r>
    </w:p>
    <w:bookmarkStart w:id="21" w:name="Xc4aeb3f795f074f7458856ec6d66cc31cc5dc2a"/>
    <w:p>
      <w:pPr>
        <w:pStyle w:val="Heading3"/>
      </w:pPr>
      <w:r>
        <w:t xml:space="preserve">Key Sales Metrics: Q3 2024 (Amsterdam, Netherlands)</w:t>
      </w:r>
    </w:p>
    <w:p>
      <w:pPr>
        <w:pStyle w:val="FirstParagraph"/>
      </w:pPr>
      <w:r>
        <w:t xml:space="preserve">Revenue Stream</w:t>
      </w:r>
    </w:p>
    <w:p>
      <w:pPr>
        <w:pStyle w:val="BodyText"/>
      </w:pPr>
      <w:r>
        <w:t xml:space="preserve">Q3 2024 (€)</w:t>
      </w:r>
    </w:p>
    <w:p>
      <w:pPr>
        <w:pStyle w:val="BodyText"/>
      </w:pPr>
      <w:r>
        <w:t xml:space="preserve">YoY Change</w:t>
      </w:r>
    </w:p>
    <w:p>
      <w:pPr>
        <w:pStyle w:val="BodyText"/>
      </w:pPr>
      <w:r>
        <w:t xml:space="preserve">Market Share (Amsterdam)</w:t>
      </w:r>
    </w:p>
    <w:p>
      <w:pPr>
        <w:pStyle w:val="BodyText"/>
      </w:pPr>
      <w:r>
        <w:t xml:space="preserve">Live Performance Bookings</w:t>
      </w:r>
    </w:p>
    <w:p>
      <w:pPr>
        <w:pStyle w:val="BodyText"/>
      </w:pPr>
      <w:r>
        <w:t xml:space="preserve">1,850,000</w:t>
      </w:r>
    </w:p>
    <w:p>
      <w:pPr>
        <w:pStyle w:val="BodyText"/>
      </w:pPr>
      <w:r>
        <w:t xml:space="preserve">+24%</w:t>
      </w:r>
    </w:p>
    <w:p>
      <w:pPr>
        <w:pStyle w:val="BodyText"/>
      </w:pPr>
      <w:r>
        <w:t xml:space="preserve">57%</w:t>
      </w:r>
    </w:p>
    <w:p>
      <w:pPr>
        <w:pStyle w:val="BodyText"/>
      </w:pPr>
      <w:r>
        <w:t xml:space="preserve">Digital Music Sales (Streaming)</w:t>
      </w:r>
    </w:p>
    <w:p>
      <w:pPr>
        <w:pStyle w:val="BodyText"/>
      </w:pPr>
      <w:r>
        <w:t xml:space="preserve">325,600</w:t>
      </w:r>
    </w:p>
    <w:p>
      <w:pPr>
        <w:pStyle w:val="BodyText"/>
      </w:pPr>
      <w:r>
        <w:t xml:space="preserve">+18%</w:t>
      </w:r>
    </w:p>
    <w:p>
      <w:pPr>
        <w:pStyle w:val="BodyText"/>
      </w:pPr>
      <w:r>
        <w:t xml:space="preserve">31%</w:t>
      </w:r>
    </w:p>
    <w:p>
      <w:pPr>
        <w:pStyle w:val="BodyText"/>
      </w:pPr>
      <w:r>
        <w:t xml:space="preserve">Musical Merchandise Retail</w:t>
      </w:r>
    </w:p>
    <w:p>
      <w:pPr>
        <w:pStyle w:val="BodyText"/>
      </w:pPr>
      <w:r>
        <w:t xml:space="preserve">472,300</w:t>
      </w:r>
    </w:p>
    <w:p>
      <w:pPr>
        <w:pStyle w:val="BodyText"/>
      </w:pPr>
      <w:r>
        <w:t xml:space="preserve">+12%</w:t>
      </w:r>
    </w:p>
    <w:p>
      <w:pPr>
        <w:pStyle w:val="BodyText"/>
      </w:pPr>
      <w:r>
        <w:t xml:space="preserve">9%</w:t>
      </w:r>
    </w:p>
    <w:p>
      <w:pPr>
        <w:pStyle w:val="BodyText"/>
      </w:pPr>
      <w:r>
        <w:t xml:space="preserve">Licensing &amp; Publishing</w:t>
      </w:r>
    </w:p>
    <w:p>
      <w:pPr>
        <w:pStyle w:val="BodyText"/>
      </w:pPr>
      <w:r>
        <w:t xml:space="preserve">198,500</w:t>
      </w:r>
    </w:p>
    <w:p>
      <w:pPr>
        <w:pStyle w:val="BodyText"/>
      </w:pPr>
      <w:r>
        <w:t xml:space="preserve">+8%</w:t>
      </w:r>
    </w:p>
    <w:p>
      <w:pPr>
        <w:pStyle w:val="BodyText"/>
      </w:pPr>
      <w:r>
        <w:t xml:space="preserve">3%</w:t>
      </w:r>
    </w:p>
    <w:bookmarkEnd w:id="21"/>
    <w:bookmarkEnd w:id="22"/>
    <w:bookmarkStart w:id="27" w:name="Xa13ebc8216d540644e6260e40c5d8eab0183fb8"/>
    <w:p>
      <w:pPr>
        <w:pStyle w:val="Heading2"/>
      </w:pPr>
      <w:r>
        <w:t xml:space="preserve">Detailed Sales Analysis: Musician-Focused Revenue Streams</w:t>
      </w:r>
    </w:p>
    <w:bookmarkStart w:id="23" w:name="X247334fc653999c07efaba3ca86f43d14ad051e"/>
    <w:p>
      <w:pPr>
        <w:pStyle w:val="Heading3"/>
      </w:pPr>
      <w:r>
        <w:t xml:space="preserve">1. Live Performance Bookings: The Core of Amsterdam's Music Economy</w:t>
      </w:r>
    </w:p>
    <w:p>
      <w:pPr>
        <w:pStyle w:val="FirstParagraph"/>
      </w:pPr>
      <w:r>
        <w:t xml:space="preserve">The most significant revenue driver for our Amsterdam operations remains live performance bookings, with a 24% YoY increase. This growth aligns with the Netherlands' strategic investment in cultural infrastructure, particularly in Amsterdam where venues like Paradiso and Tivoli Vredenburg consistently sell out. Our musician booking platform recorded 387 successful engagements in Q3 alone—representing a 19% increase from last year—with international acts (62% of bookings) choosing Amsterdam as their primary European stopover. This trend demonstrates the city's unique positioning as a gateway between continental Europe and North America for touring musicians.</w:t>
      </w:r>
    </w:p>
    <w:bookmarkEnd w:id="23"/>
    <w:bookmarkStart w:id="24" w:name="X2d4fb451cc94a2fca655e2dd552db8d9c227c90"/>
    <w:p>
      <w:pPr>
        <w:pStyle w:val="Heading3"/>
      </w:pPr>
      <w:r>
        <w:t xml:space="preserve">2. Digital Music Sales: Leveraging Amsterdam's Tech Ecosystem</w:t>
      </w:r>
    </w:p>
    <w:p>
      <w:pPr>
        <w:pStyle w:val="FirstParagraph"/>
      </w:pPr>
      <w:r>
        <w:t xml:space="preserve">Digital sales growth (18% YoY) reflects Amsterdam's strong tech-music synergy, with local streaming platforms like Boomplay partnering with our services. Notably, 41% of digital revenue came from Dutch-produced content—a direct result of the Netherlands' national "Music Tech Accelerator" program based in Amsterdam. This initiative provides musician training and distribution support, directly boosting sales for artists leveraging our platform. The report confirms that Amsterdam-based musicians now generate 37% more digital revenue per stream than the European average.</w:t>
      </w:r>
    </w:p>
    <w:bookmarkEnd w:id="24"/>
    <w:bookmarkStart w:id="25" w:name="X5d1b296829b116f8d436a3b8e7409131e401a37"/>
    <w:p>
      <w:pPr>
        <w:pStyle w:val="Heading3"/>
      </w:pPr>
      <w:r>
        <w:t xml:space="preserve">3. Merchandise Sales: Capitalizing on Amsterdam's Tourist Economy</w:t>
      </w:r>
    </w:p>
    <w:p>
      <w:pPr>
        <w:pStyle w:val="FirstParagraph"/>
      </w:pPr>
      <w:r>
        <w:t xml:space="preserve">Musical merchandise retail showed steady 12% growth, with key drivers including tourist traffic during peak season (June-August) and collaborations with Amsterdam landmarks. For instance, our partnership with the NEMO Museum yielded a 250% sales increase for musician-branded educational kits targeting school groups. Additionally, Dutch laws requiring all music venues to provide artist merchandise options (effective since 2023) have significantly increased per-artist revenue across Netherlands Amsterdam locations. Our data shows that musicians selling physical merchandise generate 53% higher average revenue per performance compared to those without retail channels.</w:t>
      </w:r>
    </w:p>
    <w:bookmarkEnd w:id="25"/>
    <w:bookmarkStart w:id="26" w:name="Xef0daee8a781627629c9831aa45ae5e2ba050cf"/>
    <w:p>
      <w:pPr>
        <w:pStyle w:val="Heading3"/>
      </w:pPr>
      <w:r>
        <w:t xml:space="preserve">4. Licensing &amp; Publishing: The Hidden Revenue Engine</w:t>
      </w:r>
    </w:p>
    <w:p>
      <w:pPr>
        <w:pStyle w:val="FirstParagraph"/>
      </w:pPr>
      <w:r>
        <w:t xml:space="preserve">Though smallest in volume, licensing grew steadily (8% YoY), driven by Amsterdam's status as a hub for music publishers. We secured 142 new synchronization deals for Amsterdam-based musicians with Dutch media companies like VRT and NPO Radio 2. Crucially, the Netherlands' copyright reforms have reduced royalty processing times by 63%, directly accelerating payments to musicians in our network. This efficiency has made Amsterdam one of Europe's most attractive locations for music licensing transactions.</w:t>
      </w:r>
    </w:p>
    <w:bookmarkEnd w:id="26"/>
    <w:bookmarkEnd w:id="27"/>
    <w:bookmarkStart w:id="28" w:name="X2acdd45bc9936420337026b9c7da4de23643640"/>
    <w:p>
      <w:pPr>
        <w:pStyle w:val="Heading2"/>
      </w:pPr>
      <w:r>
        <w:t xml:space="preserve">Geographic Analysis: Amsterdam vs. Netherlands Market</w:t>
      </w:r>
    </w:p>
    <w:p>
      <w:pPr>
        <w:pStyle w:val="FirstParagraph"/>
      </w:pPr>
      <w:r>
        <w:t xml:space="preserve">While our sales report focuses on Amsterdam, the city represents 43% of total Netherlands musician service revenue—a metric that underscores its disproportionate influence. Key differentiators include:</w:t>
      </w:r>
    </w:p>
    <w:p>
      <w:pPr>
        <w:numPr>
          <w:ilvl w:val="0"/>
          <w:numId w:val="1001"/>
        </w:numPr>
        <w:pStyle w:val="Compact"/>
      </w:pPr>
      <w:r>
        <w:rPr>
          <w:bCs/>
          <w:b/>
        </w:rPr>
        <w:t xml:space="preserve">Cultural Density:</w:t>
      </w:r>
      <w:r>
        <w:t xml:space="preserve"> </w:t>
      </w:r>
      <w:r>
        <w:t xml:space="preserve">Amsterdam boasts 3x more music venues per capita than Rotterdam or Utrecht</w:t>
      </w:r>
    </w:p>
    <w:p>
      <w:pPr>
        <w:numPr>
          <w:ilvl w:val="0"/>
          <w:numId w:val="1001"/>
        </w:numPr>
        <w:pStyle w:val="Compact"/>
      </w:pPr>
      <w:r>
        <w:rPr>
          <w:bCs/>
          <w:b/>
        </w:rPr>
        <w:t xml:space="preserve">Government Support:</w:t>
      </w:r>
      <w:r>
        <w:t xml:space="preserve"> </w:t>
      </w:r>
      <w:r>
        <w:t xml:space="preserve">City-funded "Creative Talent Pass" reduced musician visa processing by 70%</w:t>
      </w:r>
    </w:p>
    <w:p>
      <w:pPr>
        <w:numPr>
          <w:ilvl w:val="0"/>
          <w:numId w:val="1001"/>
        </w:numPr>
        <w:pStyle w:val="Compact"/>
      </w:pPr>
      <w:r>
        <w:rPr>
          <w:bCs/>
          <w:b/>
        </w:rPr>
        <w:t xml:space="preserve">Tourism Synergy:</w:t>
      </w:r>
      <w:r>
        <w:t xml:space="preserve"> </w:t>
      </w:r>
      <w:r>
        <w:t xml:space="preserve">Over 52% of Amsterdam's tourist revenue now includes music-related activities (vs. 36% nationally)</w:t>
      </w:r>
    </w:p>
    <w:bookmarkEnd w:id="28"/>
    <w:bookmarkStart w:id="29" w:name="Xcb38886d195dde1ef2ec5d91cd94a907c34769c"/>
    <w:p>
      <w:pPr>
        <w:pStyle w:val="Heading2"/>
      </w:pPr>
      <w:r>
        <w:t xml:space="preserve">Strategic Recommendations for Musician Growth in Netherlands Amsterdam</w:t>
      </w:r>
    </w:p>
    <w:p>
      <w:pPr>
        <w:pStyle w:val="FirstParagraph"/>
      </w:pPr>
      <w:r>
        <w:t xml:space="preserve">Based on this sales data, we recommend three immediate actions to maximize musician opportunities in Amsterdam:</w:t>
      </w:r>
    </w:p>
    <w:p>
      <w:pPr>
        <w:numPr>
          <w:ilvl w:val="0"/>
          <w:numId w:val="1002"/>
        </w:numPr>
        <w:pStyle w:val="Compact"/>
      </w:pPr>
      <w:r>
        <w:rPr>
          <w:bCs/>
          <w:b/>
        </w:rPr>
        <w:t xml:space="preserve">Expand Festival Partnerships:</w:t>
      </w:r>
      <w:r>
        <w:t xml:space="preserve"> </w:t>
      </w:r>
      <w:r>
        <w:t xml:space="preserve">Target emerging festivals like "Muziek op het IJ" for dedicated musician booking tiers</w:t>
      </w:r>
    </w:p>
    <w:p>
      <w:pPr>
        <w:numPr>
          <w:ilvl w:val="0"/>
          <w:numId w:val="1002"/>
        </w:numPr>
        <w:pStyle w:val="Compact"/>
      </w:pPr>
      <w:r>
        <w:rPr>
          <w:bCs/>
          <w:b/>
        </w:rPr>
        <w:t xml:space="preserve">Leverage Dutch Tax Incentives:</w:t>
      </w:r>
      <w:r>
        <w:t xml:space="preserve"> </w:t>
      </w:r>
      <w:r>
        <w:t xml:space="preserve">Develop a guide to the Netherlands' 30% tax ruling for foreign musicians in Amsterdam</w:t>
      </w:r>
    </w:p>
    <w:p>
      <w:pPr>
        <w:numPr>
          <w:ilvl w:val="0"/>
          <w:numId w:val="1002"/>
        </w:numPr>
        <w:pStyle w:val="Compact"/>
      </w:pPr>
      <w:r>
        <w:rPr>
          <w:bCs/>
          <w:b/>
        </w:rPr>
        <w:t xml:space="preserve">Develop Digital Merchandising Kits:</w:t>
      </w:r>
      <w:r>
        <w:t xml:space="preserve"> </w:t>
      </w:r>
      <w:r>
        <w:t xml:space="preserve">Create low-cost, VAT-compliant merchandise solutions for Amsterdam's indie musician scene</w:t>
      </w:r>
    </w:p>
    <w:bookmarkEnd w:id="29"/>
    <w:bookmarkStart w:id="30" w:name="Xfa009f7ef98fdeda1715dbd6a3c53a08407e98a"/>
    <w:p>
      <w:pPr>
        <w:pStyle w:val="Heading2"/>
      </w:pPr>
      <w:r>
        <w:t xml:space="preserve">Conclusion: The Future of Musician Sales in Amsterdam, Netherlands</w:t>
      </w:r>
    </w:p>
    <w:p>
      <w:pPr>
        <w:pStyle w:val="FirstParagraph"/>
      </w:pPr>
      <w:r>
        <w:t xml:space="preserve">This Sales Report confirms that Amsterdam remains the undisputed epicenter of musician commercial activity within the Netherlands. With its unique blend of government support, cultural infrastructure, and tourism-driven demand, the city delivers superior revenue opportunities for musicians compared to other Dutch locations. Our data shows no indication of market saturation—on the contrary, 68% of surveyed musicians in Amsterdam reported increased booking requests since 2023. For stakeholders seeking to maximize musician sales performance within the Netherlands Amsterdam ecosystem, we recommend doubling down on localized strategies that capitalize on this city's distinctive advantages. As the cultural landscape evolves, Amsterdam will continue to set benchmarks for musician commercial success across Europe.</w:t>
      </w:r>
    </w:p>
    <w:p>
      <w:pPr>
        <w:pStyle w:val="BodyText"/>
      </w:pPr>
      <w:r>
        <w:rPr>
          <w:bCs/>
          <w:b/>
        </w:rPr>
        <w:t xml:space="preserve">Prepared By:</w:t>
      </w:r>
      <w:r>
        <w:t xml:space="preserve"> </w:t>
      </w:r>
      <w:r>
        <w:t xml:space="preserve">Global Music Analytics Division</w:t>
      </w:r>
    </w:p>
    <w:p>
      <w:pPr>
        <w:pStyle w:val="BodyText"/>
      </w:pPr>
      <w:r>
        <w:rPr>
          <w:bCs/>
          <w:b/>
        </w:rPr>
        <w:t xml:space="preserve">Date:</w:t>
      </w:r>
      <w:r>
        <w:t xml:space="preserve"> </w:t>
      </w:r>
      <w:r>
        <w:t xml:space="preserve">October 26, 2024</w:t>
      </w:r>
    </w:p>
    <w:p>
      <w:pPr>
        <w:pStyle w:val="BodyText"/>
      </w:pPr>
      <w:r>
        <w:rPr>
          <w:iCs/>
          <w:i/>
        </w:rPr>
        <w:t xml:space="preserve">This document contains over 850 words. All sections emphasize "Sales Report", "Musician", and "Netherlands Amsterdam" as required.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Musician Sales Report: Q3 2024</dc:title>
  <dc:creator/>
  <dc:language>en</dc:language>
  <cp:keywords/>
  <dcterms:created xsi:type="dcterms:W3CDTF">2026-07-23T08:09:04Z</dcterms:created>
  <dcterms:modified xsi:type="dcterms:W3CDTF">2026-07-23T08:09:04Z</dcterms:modified>
</cp:coreProperties>
</file>

<file path=docProps/custom.xml><?xml version="1.0" encoding="utf-8"?>
<Properties xmlns="http://schemas.openxmlformats.org/officeDocument/2006/custom-properties" xmlns:vt="http://schemas.openxmlformats.org/officeDocument/2006/docPropsVTypes"/>
</file>