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Performance</w:t>
      </w:r>
      <w:r>
        <w:t xml:space="preserve"> </w:t>
      </w:r>
      <w:r>
        <w:t xml:space="preserve">Analysis</w:t>
      </w:r>
    </w:p>
    <w:bookmarkStart w:id="29" w:name="X57be16b19dfb21cd078a25b2701464d0c3d9d34"/>
    <w:p>
      <w:pPr>
        <w:pStyle w:val="Heading1"/>
      </w:pPr>
      <w:r>
        <w:t xml:space="preserve">Sales Report: Comprehensive Performance Analysis of Musician Activities in Peru Lima</w:t>
      </w:r>
    </w:p>
    <w:bookmarkStart w:id="20" w:name="executive-summary"/>
    <w:p>
      <w:pPr>
        <w:pStyle w:val="Heading2"/>
      </w:pPr>
      <w:r>
        <w:t xml:space="preserve">Executive Summary</w:t>
      </w:r>
    </w:p>
    <w:p>
      <w:pPr>
        <w:pStyle w:val="FirstParagraph"/>
      </w:pPr>
      <w:r>
        <w:t xml:space="preserve">This comprehensive Sales Report details the performance metrics, revenue streams, and market dynamics for international Musician [Artist Name] during their landmark tour across Peru Lima. Covering a 90-day period from January 15 to April 4, 2024, this document analyzes ticket sales, merchandise revenue, digital engagement metrics, and audience demographics specific to the vibrant cultural landscape of Peru Lima. The report confirms that [Artist Name]'s strategic engagement with Lima's unique musical ecosystem generated $287,450 in direct revenue while establishing significant brand presence for future tours in Peru.</w:t>
      </w:r>
    </w:p>
    <w:bookmarkEnd w:id="20"/>
    <w:bookmarkStart w:id="22" w:name="X05551b67c2160a7d08b49e9f906fd2d68fd5fd3"/>
    <w:p>
      <w:pPr>
        <w:pStyle w:val="Heading2"/>
      </w:pPr>
      <w:r>
        <w:t xml:space="preserve">Performance Overview: Musician's Impact in Peru Lima</w:t>
      </w:r>
    </w:p>
    <w:p>
      <w:pPr>
        <w:pStyle w:val="FirstParagraph"/>
      </w:pPr>
      <w:r>
        <w:t xml:space="preserve">The Musician's three-city tour culminated in Lima at the iconic Movistar Arena, drawing an average attendance of 8,500 per show across five consecutive nights. This marked a 37% increase over previous international acts in the same venue. Notably, all shows sold out within 48 hours of ticket release—a testament to effective local marketing partnerships with Peruvian cultural institutions. The Sales Report highlights that Lima contributed 68% of total tour revenue despite being the final leg, demonstrating Peru Lima's exceptional market potential for global artists.</w:t>
      </w:r>
    </w:p>
    <w:bookmarkStart w:id="21" w:name="ticket-sales-breakdown"/>
    <w:p>
      <w:pPr>
        <w:pStyle w:val="Heading3"/>
      </w:pPr>
      <w:r>
        <w:t xml:space="preserve">Ticket Sales Breakdown</w:t>
      </w:r>
    </w:p>
    <w:p>
      <w:pPr>
        <w:pStyle w:val="FirstParagraph"/>
      </w:pPr>
      <w:r>
        <w:t xml:space="preserve">Performance Date</w:t>
      </w:r>
    </w:p>
    <w:p>
      <w:pPr>
        <w:pStyle w:val="BodyText"/>
      </w:pPr>
      <w:r>
        <w:t xml:space="preserve">Attendance (Est.)</w:t>
      </w:r>
    </w:p>
    <w:p>
      <w:pPr>
        <w:pStyle w:val="BodyText"/>
      </w:pPr>
      <w:r>
        <w:t xml:space="preserve">Avg. Ticket Price (USD)</w:t>
      </w:r>
    </w:p>
    <w:p>
      <w:pPr>
        <w:pStyle w:val="BodyText"/>
      </w:pPr>
      <w:r>
        <w:t xml:space="preserve">Revenue Generated (USD)</w:t>
      </w:r>
    </w:p>
    <w:p>
      <w:pPr>
        <w:pStyle w:val="BodyText"/>
      </w:pPr>
      <w:r>
        <w:t xml:space="preserve">January 22, 2024</w:t>
      </w:r>
    </w:p>
    <w:p>
      <w:pPr>
        <w:pStyle w:val="BodyText"/>
      </w:pPr>
      <w:r>
        <w:t xml:space="preserve">8,650</w:t>
      </w:r>
    </w:p>
    <w:p>
      <w:pPr>
        <w:pStyle w:val="BodyText"/>
      </w:pPr>
      <w:r>
        <w:t xml:space="preserve">$115.00</w:t>
      </w:r>
    </w:p>
    <w:p>
      <w:pPr>
        <w:pStyle w:val="BodyText"/>
      </w:pPr>
      <w:r>
        <w:t xml:space="preserve">$994,750</w:t>
      </w:r>
    </w:p>
    <w:p>
      <w:pPr>
        <w:pStyle w:val="BodyText"/>
      </w:pPr>
      <w:r>
        <w:t xml:space="preserve">January 23, 2024</w:t>
      </w:r>
    </w:p>
    <w:p>
      <w:pPr>
        <w:pStyle w:val="BodyText"/>
      </w:pPr>
      <w:r>
        <w:t xml:space="preserve">8,723</w:t>
      </w:r>
    </w:p>
    <w:p>
      <w:pPr>
        <w:pStyle w:val="BodyText"/>
      </w:pPr>
      <w:r>
        <w:t xml:space="preserve">$125.50</w:t>
      </w:r>
    </w:p>
    <w:p>
      <w:pPr>
        <w:pStyle w:val="BodyText"/>
      </w:pPr>
      <w:r>
        <w:t xml:space="preserve">$1,095,166</w:t>
      </w:r>
    </w:p>
    <w:p>
      <w:pPr>
        <w:pStyle w:val="BodyText"/>
      </w:pPr>
      <w:r>
        <w:t xml:space="preserve">January 30, 2024</w:t>
      </w:r>
    </w:p>
    <w:p>
      <w:pPr>
        <w:pStyle w:val="BodyText"/>
      </w:pPr>
      <w:r>
        <w:t xml:space="preserve">8,478</w:t>
      </w:r>
    </w:p>
    <w:p>
      <w:pPr>
        <w:pStyle w:val="BodyText"/>
      </w:pPr>
      <w:r>
        <w:t xml:space="preserve">$98.75</w:t>
      </w:r>
    </w:p>
    <w:p>
      <w:pPr>
        <w:pStyle w:val="BodyText"/>
      </w:pPr>
      <w:r>
        <w:t xml:space="preserve">$837,320</w:t>
      </w:r>
    </w:p>
    <w:p>
      <w:pPr>
        <w:pStyle w:val="BodyText"/>
      </w:pPr>
      <w:r>
        <w:t xml:space="preserve">February 15, 2024</w:t>
      </w:r>
    </w:p>
    <w:p>
      <w:pPr>
        <w:pStyle w:val="BodyText"/>
      </w:pPr>
      <w:r>
        <w:t xml:space="preserve">8,516</w:t>
      </w:r>
    </w:p>
    <w:p>
      <w:pPr>
        <w:pStyle w:val="BodyText"/>
      </w:pPr>
      <w:r>
        <w:t xml:space="preserve">$109.25</w:t>
      </w:r>
    </w:p>
    <w:p>
      <w:pPr>
        <w:pStyle w:val="BodyText"/>
      </w:pPr>
      <w:r>
        <w:t xml:space="preserve">$930,647</w:t>
      </w:r>
    </w:p>
    <w:p>
      <w:pPr>
        <w:pStyle w:val="BodyText"/>
      </w:pPr>
      <w:r>
        <w:t xml:space="preserve">March 8, 2024</w:t>
      </w:r>
    </w:p>
    <w:p>
      <w:pPr>
        <w:pStyle w:val="BodyText"/>
      </w:pPr>
      <w:r>
        <w:t xml:space="preserve">8,375</w:t>
      </w:r>
    </w:p>
    <w:p>
      <w:pPr>
        <w:pStyle w:val="BodyText"/>
      </w:pPr>
      <w:r>
        <w:t xml:space="preserve">$135.00</w:t>
      </w:r>
    </w:p>
    <w:p>
      <w:pPr>
        <w:pStyle w:val="BodyText"/>
      </w:pPr>
      <w:r>
        <w:t xml:space="preserve">$1,130,625</w:t>
      </w:r>
    </w:p>
    <w:p>
      <w:pPr>
        <w:pStyle w:val="BodyText"/>
      </w:pPr>
      <w:r>
        <w:t xml:space="preserve">Total (Lima)</w:t>
      </w:r>
    </w:p>
    <w:p>
      <w:pPr>
        <w:pStyle w:val="BodyText"/>
      </w:pPr>
      <w:r>
        <w:t xml:space="preserve">42,742</w:t>
      </w:r>
    </w:p>
    <w:p>
      <w:pPr>
        <w:pStyle w:val="BodyText"/>
      </w:pPr>
      <w:r>
        <w:t xml:space="preserve">-$113.85 avg.</w:t>
      </w:r>
    </w:p>
    <w:p>
      <w:pPr>
        <w:pStyle w:val="BodyText"/>
      </w:pPr>
      <w:r>
        <w:t xml:space="preserve">$4,098,508</w:t>
      </w:r>
    </w:p>
    <w:bookmarkEnd w:id="21"/>
    <w:bookmarkEnd w:id="22"/>
    <w:bookmarkStart w:id="23" w:name="Xecf175cad77b4cf34f819e90d25b84f71ebad08"/>
    <w:p>
      <w:pPr>
        <w:pStyle w:val="Heading2"/>
      </w:pPr>
      <w:r>
        <w:t xml:space="preserve">Mercandise Sales: Strategic Localization in Peru Lima Market</w:t>
      </w:r>
    </w:p>
    <w:p>
      <w:pPr>
        <w:pStyle w:val="FirstParagraph"/>
      </w:pPr>
      <w:r>
        <w:t xml:space="preserve">Peru Lima's cultural sensitivity was central to the Musician's merchandise strategy. Collaborating with local Peruvian artisans, the Sales Report documents a 45% sales uplift for regionally adapted products:</w:t>
      </w:r>
    </w:p>
    <w:p>
      <w:pPr>
        <w:numPr>
          <w:ilvl w:val="0"/>
          <w:numId w:val="1001"/>
        </w:numPr>
        <w:pStyle w:val="Compact"/>
      </w:pPr>
      <w:r>
        <w:rPr>
          <w:bCs/>
          <w:b/>
        </w:rPr>
        <w:t xml:space="preserve">Andean-Inspired Apparel:</w:t>
      </w:r>
      <w:r>
        <w:t xml:space="preserve"> </w:t>
      </w:r>
      <w:r>
        <w:t xml:space="preserve">Handwoven scarves ($45) and alpaca-blend hoodies ($65) generated $82,130 (32% of total merch revenue)</w:t>
      </w:r>
    </w:p>
    <w:p>
      <w:pPr>
        <w:numPr>
          <w:ilvl w:val="0"/>
          <w:numId w:val="1001"/>
        </w:numPr>
        <w:pStyle w:val="Compact"/>
      </w:pPr>
      <w:r>
        <w:rPr>
          <w:bCs/>
          <w:b/>
        </w:rPr>
        <w:t xml:space="preserve">Cultural Collaborations:</w:t>
      </w:r>
      <w:r>
        <w:t xml:space="preserve"> </w:t>
      </w:r>
      <w:r>
        <w:t xml:space="preserve">Limited-edition vinyl featuring Peruvian folk samples sold 1,890 units at $75 each ($141,750)</w:t>
      </w:r>
    </w:p>
    <w:p>
      <w:pPr>
        <w:numPr>
          <w:ilvl w:val="0"/>
          <w:numId w:val="1001"/>
        </w:numPr>
        <w:pStyle w:val="Compact"/>
      </w:pPr>
      <w:r>
        <w:rPr>
          <w:bCs/>
          <w:b/>
        </w:rPr>
        <w:t xml:space="preserve">Sustainable Products:</w:t>
      </w:r>
      <w:r>
        <w:t xml:space="preserve"> </w:t>
      </w:r>
      <w:r>
        <w:t xml:space="preserve">Reusable coca-leaf-patterned water bottles ($22) outsold standard tour merch by 230%</w:t>
      </w:r>
    </w:p>
    <w:p>
      <w:pPr>
        <w:pStyle w:val="FirstParagraph"/>
      </w:pPr>
      <w:r>
        <w:t xml:space="preserve">The Sales Report attributes this success to the Musician's conscious integration of Peruvian cultural elements—evident in all promotional materials featuring local dancers and Andean motifs. This approach resonated with Lima's 68% local audience demographic (vs. international tourists at 32%), creating authentic brand connections.</w:t>
      </w:r>
    </w:p>
    <w:bookmarkEnd w:id="23"/>
    <w:bookmarkStart w:id="24" w:name="Xea81ff1cf53f8af9f7547fda768fa395af5d3bc"/>
    <w:p>
      <w:pPr>
        <w:pStyle w:val="Heading2"/>
      </w:pPr>
      <w:r>
        <w:t xml:space="preserve">Peru Lima Market Analysis: Key Success Factors</w:t>
      </w:r>
    </w:p>
    <w:p>
      <w:pPr>
        <w:pStyle w:val="FirstParagraph"/>
      </w:pPr>
      <w:r>
        <w:t xml:space="preserve">Three critical factors drove the Musician's exceptional performance in Peru Lima:</w:t>
      </w:r>
    </w:p>
    <w:p>
      <w:pPr>
        <w:numPr>
          <w:ilvl w:val="0"/>
          <w:numId w:val="1002"/>
        </w:numPr>
        <w:pStyle w:val="Compact"/>
      </w:pPr>
      <w:r>
        <w:rPr>
          <w:bCs/>
          <w:b/>
        </w:rPr>
        <w:t xml:space="preserve">Cultural Authenticity:</w:t>
      </w:r>
      <w:r>
        <w:t xml:space="preserve"> </w:t>
      </w:r>
      <w:r>
        <w:t xml:space="preserve">The Musician actively engaged with Peruvian music producers pre-tour, incorporating elements of marinera and cumbia into their setlist. This was featured prominently in all Sales Report marketing collateral.</w:t>
      </w:r>
    </w:p>
    <w:p>
      <w:pPr>
        <w:numPr>
          <w:ilvl w:val="0"/>
          <w:numId w:val="1002"/>
        </w:numPr>
        <w:pStyle w:val="Compact"/>
      </w:pPr>
      <w:r>
        <w:rPr>
          <w:bCs/>
          <w:b/>
        </w:rPr>
        <w:t xml:space="preserve">Strategic Local Partnerships:</w:t>
      </w:r>
      <w:r>
        <w:t xml:space="preserve"> </w:t>
      </w:r>
      <w:r>
        <w:t xml:space="preserve">Collaborations with Peru's Ministry of Culture and Lima-based influencers like @PeruVibes generated 42% of pre-sale tickets through targeted social campaigns.</w:t>
      </w:r>
    </w:p>
    <w:p>
      <w:pPr>
        <w:numPr>
          <w:ilvl w:val="0"/>
          <w:numId w:val="1002"/>
        </w:numPr>
        <w:pStyle w:val="Compact"/>
      </w:pPr>
      <w:r>
        <w:rPr>
          <w:bCs/>
          <w:b/>
        </w:rPr>
        <w:t xml:space="preserve">Pricing Psychology:</w:t>
      </w:r>
      <w:r>
        <w:t xml:space="preserve"> </w:t>
      </w:r>
      <w:r>
        <w:t xml:space="preserve">Tiered pricing aligned with Lima's economic context—$65-$135 ticket range (vs. $120-$250 in US markets) boosted accessibility while maintaining premium perception.</w:t>
      </w:r>
    </w:p>
    <w:bookmarkEnd w:id="24"/>
    <w:bookmarkStart w:id="25" w:name="challenges-and-mitigation-strategies"/>
    <w:p>
      <w:pPr>
        <w:pStyle w:val="Heading2"/>
      </w:pPr>
      <w:r>
        <w:t xml:space="preserve">Challenges and Mitigation Strategies</w:t>
      </w:r>
    </w:p>
    <w:p>
      <w:pPr>
        <w:pStyle w:val="FirstParagraph"/>
      </w:pPr>
      <w:r>
        <w:t xml:space="preserve">The Sales Report acknowledges initial challenges unique to Peru Lima's market:</w:t>
      </w:r>
    </w:p>
    <w:p>
      <w:pPr>
        <w:numPr>
          <w:ilvl w:val="0"/>
          <w:numId w:val="1003"/>
        </w:numPr>
        <w:pStyle w:val="Compact"/>
      </w:pPr>
      <w:r>
        <w:rPr>
          <w:iCs/>
          <w:i/>
        </w:rPr>
        <w:t xml:space="preserve">Logistical Hurdles:</w:t>
      </w:r>
      <w:r>
        <w:t xml:space="preserve"> </w:t>
      </w:r>
      <w:r>
        <w:t xml:space="preserve">Customs delays for imported merchandise were resolved through local partnerships with Lima-based distributor Sodimac, reducing shipping time by 78%.</w:t>
      </w:r>
    </w:p>
    <w:p>
      <w:pPr>
        <w:numPr>
          <w:ilvl w:val="0"/>
          <w:numId w:val="1003"/>
        </w:numPr>
        <w:pStyle w:val="Compact"/>
      </w:pPr>
      <w:r>
        <w:rPr>
          <w:iCs/>
          <w:i/>
        </w:rPr>
        <w:t xml:space="preserve">Cultural Missteps Avoided:</w:t>
      </w:r>
      <w:r>
        <w:t xml:space="preserve"> </w:t>
      </w:r>
      <w:r>
        <w:t xml:space="preserve">Pre-tour focus groups in Lima's Barranco district corrected early marketing materials featuring inappropriate Andean symbols, preventing potential backlash.</w:t>
      </w:r>
    </w:p>
    <w:p>
      <w:pPr>
        <w:numPr>
          <w:ilvl w:val="0"/>
          <w:numId w:val="1003"/>
        </w:numPr>
        <w:pStyle w:val="Compact"/>
      </w:pPr>
      <w:r>
        <w:rPr>
          <w:iCs/>
          <w:i/>
        </w:rPr>
        <w:t xml:space="preserve">Payment Method Adaptation:</w:t>
      </w:r>
      <w:r>
        <w:t xml:space="preserve"> </w:t>
      </w:r>
      <w:r>
        <w:t xml:space="preserve">63% of Peru Lima ticket buyers used Peru's popular "Bono" mobile payment system—integrated into the booking platform post-Week 1 feedback.</w:t>
      </w:r>
    </w:p>
    <w:bookmarkEnd w:id="25"/>
    <w:bookmarkStart w:id="26" w:name="financial-impact-on-local-economy"/>
    <w:p>
      <w:pPr>
        <w:pStyle w:val="Heading2"/>
      </w:pPr>
      <w:r>
        <w:t xml:space="preserve">Financial Impact on Local Economy</w:t>
      </w:r>
    </w:p>
    <w:p>
      <w:pPr>
        <w:pStyle w:val="FirstParagraph"/>
      </w:pPr>
      <w:r>
        <w:t xml:space="preserve">Beyond direct revenue, the Musician's engagement catalyzed $143,000 in ancillary spending across Lima. The Sales Report quantifies this as:</w:t>
      </w:r>
    </w:p>
    <w:p>
      <w:pPr>
        <w:numPr>
          <w:ilvl w:val="0"/>
          <w:numId w:val="1004"/>
        </w:numPr>
        <w:pStyle w:val="Compact"/>
      </w:pPr>
      <w:r>
        <w:t xml:space="preserve">Hotel occupancy: +39% at Miraflores district properties during tour dates</w:t>
      </w:r>
    </w:p>
    <w:p>
      <w:pPr>
        <w:numPr>
          <w:ilvl w:val="0"/>
          <w:numId w:val="1004"/>
        </w:numPr>
        <w:pStyle w:val="Compact"/>
      </w:pPr>
      <w:r>
        <w:t xml:space="preserve">Restaurant revenue: $87,500 from venue partner eateries (Terra Restaurant)</w:t>
      </w:r>
    </w:p>
    <w:p>
      <w:pPr>
        <w:numPr>
          <w:ilvl w:val="0"/>
          <w:numId w:val="1004"/>
        </w:numPr>
        <w:pStyle w:val="Compact"/>
      </w:pPr>
      <w:r>
        <w:t xml:space="preserve">Local artist features: 12 Lima-based musicians featured on opening acts generating $18,400 in performance fees</w:t>
      </w:r>
    </w:p>
    <w:bookmarkEnd w:id="26"/>
    <w:bookmarkStart w:id="27" w:name="Xaa9859d153f96d3094fa662ac361caf5c4527c4"/>
    <w:p>
      <w:pPr>
        <w:pStyle w:val="Heading2"/>
      </w:pPr>
      <w:r>
        <w:t xml:space="preserve">Future Recommendations for Musician's Peru Lima Strategy</w:t>
      </w:r>
    </w:p>
    <w:p>
      <w:pPr>
        <w:pStyle w:val="FirstParagraph"/>
      </w:pPr>
      <w:r>
        <w:t xml:space="preserve">Based on this Sales Report, the following actions are recommended for future Musician engagements in Peru Lima:</w:t>
      </w:r>
    </w:p>
    <w:p>
      <w:pPr>
        <w:numPr>
          <w:ilvl w:val="0"/>
          <w:numId w:val="1005"/>
        </w:numPr>
        <w:pStyle w:val="Compact"/>
      </w:pPr>
      <w:r>
        <w:rPr>
          <w:bCs/>
          <w:b/>
        </w:rPr>
        <w:t xml:space="preserve">Establish Permanent Cultural Partnerships:</w:t>
      </w:r>
      <w:r>
        <w:t xml:space="preserve"> </w:t>
      </w:r>
      <w:r>
        <w:t xml:space="preserve">Develop a formal collaboration with Peru's National Institute of Culture (INC) for annual music initiatives.</w:t>
      </w:r>
    </w:p>
    <w:p>
      <w:pPr>
        <w:numPr>
          <w:ilvl w:val="0"/>
          <w:numId w:val="1005"/>
        </w:numPr>
        <w:pStyle w:val="Compact"/>
      </w:pPr>
      <w:r>
        <w:rPr>
          <w:bCs/>
          <w:b/>
        </w:rPr>
        <w:t xml:space="preserve">Launch Lima-Specific Digital Campaigns:</w:t>
      </w:r>
      <w:r>
        <w:t xml:space="preserve"> </w:t>
      </w:r>
      <w:r>
        <w:t xml:space="preserve">Create "Peru Remix" content featuring local artists to drive streaming engagement ahead of tours.</w:t>
      </w:r>
    </w:p>
    <w:p>
      <w:pPr>
        <w:numPr>
          <w:ilvl w:val="0"/>
          <w:numId w:val="1005"/>
        </w:numPr>
        <w:pStyle w:val="Compact"/>
      </w:pPr>
      <w:r>
        <w:rPr>
          <w:bCs/>
          <w:b/>
        </w:rPr>
        <w:t xml:space="preserve">Expand Sustainable Merchandise:</w:t>
      </w:r>
      <w:r>
        <w:t xml:space="preserve"> </w:t>
      </w:r>
      <w:r>
        <w:t xml:space="preserve">Scale the successful alpaca/coca-leaf product line with 20% of profits supporting Peruvian artisan cooperatives.</w:t>
      </w:r>
    </w:p>
    <w:p>
      <w:pPr>
        <w:numPr>
          <w:ilvl w:val="0"/>
          <w:numId w:val="1005"/>
        </w:numPr>
        <w:pStyle w:val="Compact"/>
      </w:pPr>
      <w:r>
        <w:rPr>
          <w:bCs/>
          <w:b/>
        </w:rPr>
        <w:t xml:space="preserve">Develop Tiered Ticketing:</w:t>
      </w:r>
      <w:r>
        <w:t xml:space="preserve"> </w:t>
      </w:r>
      <w:r>
        <w:t xml:space="preserve">Introduce "Puno Experience" packages (including pre-concert Andean music workshop) for premium pricing.</w:t>
      </w:r>
    </w:p>
    <w:bookmarkEnd w:id="27"/>
    <w:bookmarkStart w:id="28" w:name="X3095876c4f05f6b72086b92f4023a8cd1ef8f65"/>
    <w:p>
      <w:pPr>
        <w:pStyle w:val="Heading2"/>
      </w:pPr>
      <w:r>
        <w:t xml:space="preserve">Conclusion: The Peru Lima Market as Growth Catalyst</w:t>
      </w:r>
    </w:p>
    <w:p>
      <w:pPr>
        <w:pStyle w:val="FirstParagraph"/>
      </w:pPr>
      <w:r>
        <w:t xml:space="preserve">This Sales Report conclusively demonstrates that the Musician's approach to Peru Lima—rooted in cultural respect, local collaboration, and strategic localization—has transformed the city into a high-potential market for global artists. With 87% of attendees rating their experience "exceeded expectations" (vs. industry avg. 63%), Peru Lima now stands as a model for sustainable artist engagement in Latin America. The Sales Report forecasts that future Musician performances in Lima could achieve $500,000+ revenue annually with these strategies, positioning the city as a strategic pillar in the global music tour circuit.</w:t>
      </w:r>
    </w:p>
    <w:p>
      <w:pPr>
        <w:pStyle w:val="BodyText"/>
      </w:pPr>
      <w:r>
        <w:rPr>
          <w:iCs/>
          <w:i/>
        </w:rPr>
        <w:t xml:space="preserve">Prepared by: International Touring Analytics Division</w:t>
      </w:r>
      <w:r>
        <w:br/>
      </w:r>
      <w:r>
        <w:rPr>
          <w:iCs/>
          <w:i/>
        </w:rPr>
        <w:t xml:space="preserve">Date: April 12, 2024</w:t>
      </w:r>
    </w:p>
    <w:p>
      <w:r>
        <w:pict>
          <v:rect style="width:0;height:1.5pt" o:hralign="center" o:hrstd="t" o:hr="t"/>
        </w:pict>
      </w:r>
    </w:p>
    <w:p>
      <w:pPr>
        <w:pStyle w:val="FirstParagraph"/>
      </w:pPr>
      <w:r>
        <w:rPr>
          <w:bCs/>
          <w:b/>
        </w:rPr>
        <w:t xml:space="preserve">Key Metrics Summary:</w:t>
      </w:r>
      <w:r>
        <w:t xml:space="preserve"> </w:t>
      </w:r>
      <w:r>
        <w:t xml:space="preserve">Total Revenue (Peru Lima): $4,385,958 | Avg. Ticket Price: $113.85 | Merchandise Margin: 67% | Local Audience Share: 68%</w:t>
      </w:r>
      <w:r>
        <w:br/>
      </w:r>
      <w:r>
        <w:rPr>
          <w:iCs/>
          <w:i/>
        </w:rPr>
        <w:t xml:space="preserve">This Sales Report is proprietary to [Artist Name] Management and may not be distributed without written permission.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Peru Lima Performance Analysis</dc:title>
  <dc:creator/>
  <dc:language>en</dc:language>
  <cp:keywords/>
  <dcterms:created xsi:type="dcterms:W3CDTF">2026-07-20T23:20:36Z</dcterms:created>
  <dcterms:modified xsi:type="dcterms:W3CDTF">2026-07-20T23:20:36Z</dcterms:modified>
</cp:coreProperties>
</file>

<file path=docProps/custom.xml><?xml version="1.0" encoding="utf-8"?>
<Properties xmlns="http://schemas.openxmlformats.org/officeDocument/2006/custom-properties" xmlns:vt="http://schemas.openxmlformats.org/officeDocument/2006/docPropsVTypes"/>
</file>