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Qatar</w:t>
      </w:r>
      <w:r>
        <w:t xml:space="preserve"> </w:t>
      </w:r>
      <w:r>
        <w:t xml:space="preserve">Doha</w:t>
      </w:r>
    </w:p>
    <w:bookmarkStart w:id="27" w:name="Xc31ace7eb0642716909062a18541dec8d60bdad"/>
    <w:p>
      <w:pPr>
        <w:pStyle w:val="Heading1"/>
      </w:pPr>
      <w:r>
        <w:t xml:space="preserve">Comprehensive Sales Report: Musician Performance Analysis for Qatar Doha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Music Ventures Board |</w:t>
      </w:r>
      <w:r>
        <w:t xml:space="preserve"> </w:t>
      </w:r>
      <w:r>
        <w:rPr>
          <w:bCs/>
          <w:b/>
        </w:rPr>
        <w:t xml:space="preserve">Report Type:</w:t>
      </w:r>
      <w:r>
        <w:t xml:space="preserve"> </w:t>
      </w:r>
      <w:r>
        <w:t xml:space="preserve">Quarterly Sales Performance</w:t>
      </w:r>
    </w:p>
    <w:bookmarkStart w:id="20" w:name="executive-summary"/>
    <w:p>
      <w:pPr>
        <w:pStyle w:val="Heading2"/>
      </w:pPr>
      <w:r>
        <w:t xml:space="preserve">Executive Summary</w:t>
      </w:r>
    </w:p>
    <w:p>
      <w:pPr>
        <w:pStyle w:val="FirstParagraph"/>
      </w:pPr>
      <w:r>
        <w:t xml:space="preserve">This Sales Report details the performance metrics of our featured Musician across key venues in Qatar Doha during Q3 2023. The analysis confirms significant revenue growth and market penetration, with the Musician establishing a dominant presence in Qatar's cultural landscape. This document serves as critical evidence of strategic success within the rapidly evolving entertainment sector of Qatar Doha, highlighting how targeted artist engagement drives measurable commercial outcomes.</w:t>
      </w:r>
    </w:p>
    <w:bookmarkEnd w:id="20"/>
    <w:bookmarkStart w:id="21" w:name="sales-performance-overview"/>
    <w:p>
      <w:pPr>
        <w:pStyle w:val="Heading2"/>
      </w:pPr>
      <w:r>
        <w:t xml:space="preserve">1. Sales Performance Overview</w:t>
      </w:r>
    </w:p>
    <w:p>
      <w:pPr>
        <w:pStyle w:val="FirstParagraph"/>
      </w:pPr>
      <w:r>
        <w:t xml:space="preserve">The Musician generated total revenue of QAR 875,000 (USD 239,500) across 42 events in Qatar Doha during July-September 2023. This represents a remarkable 68% year-over-year increase from the previous quarter. Key drivers include:</w:t>
      </w:r>
    </w:p>
    <w:p>
      <w:pPr>
        <w:numPr>
          <w:ilvl w:val="0"/>
          <w:numId w:val="1001"/>
        </w:numPr>
        <w:pStyle w:val="Compact"/>
      </w:pPr>
      <w:r>
        <w:rPr>
          <w:bCs/>
          <w:b/>
        </w:rPr>
        <w:t xml:space="preserve">High-Profile Venue Bookings:</w:t>
      </w:r>
      <w:r>
        <w:t xml:space="preserve"> </w:t>
      </w:r>
      <w:r>
        <w:t xml:space="preserve">Sold-out performances at The Pearl-Qatar, Katara Cultural Village, and Doha Festival City (92% capacity utilization)</w:t>
      </w:r>
    </w:p>
    <w:p>
      <w:pPr>
        <w:numPr>
          <w:ilvl w:val="0"/>
          <w:numId w:val="1001"/>
        </w:numPr>
        <w:pStyle w:val="Compact"/>
      </w:pPr>
      <w:r>
        <w:rPr>
          <w:bCs/>
          <w:b/>
        </w:rPr>
        <w:t xml:space="preserve">Merchandise Revenue:</w:t>
      </w:r>
      <w:r>
        <w:t xml:space="preserve"> </w:t>
      </w:r>
      <w:r>
        <w:t xml:space="preserve">QAR 142,000 (16.2% of total sales) from custom-designed apparel and vinyl records bearing the Musician's signature</w:t>
      </w:r>
    </w:p>
    <w:p>
      <w:pPr>
        <w:numPr>
          <w:ilvl w:val="0"/>
          <w:numId w:val="1001"/>
        </w:numPr>
        <w:pStyle w:val="Compact"/>
      </w:pPr>
      <w:r>
        <w:rPr>
          <w:bCs/>
          <w:b/>
        </w:rPr>
        <w:t xml:space="preserve">Corporate Partnerships:</w:t>
      </w:r>
      <w:r>
        <w:t xml:space="preserve"> </w:t>
      </w:r>
      <w:r>
        <w:t xml:space="preserve">Strategic collaborations with Qatar Airways and Al Jazeera Sports yielding QAR 315,000 in event sponsorships</w:t>
      </w:r>
    </w:p>
    <w:p>
      <w:pPr>
        <w:pStyle w:val="FirstParagraph"/>
      </w:pPr>
      <w:r>
        <w:t xml:space="preserve">The Sales Report confirms that Qatar Doha has become the Musician's most profitable market globally, contributing 47% of total international revenue. This growth stems from our tailored approach to the Qatari entertainment ecosystem.</w:t>
      </w:r>
    </w:p>
    <w:bookmarkEnd w:id="21"/>
    <w:bookmarkStart w:id="22" w:name="X124040f3f0e0b481e977777ddb5b78ff529aaf3"/>
    <w:p>
      <w:pPr>
        <w:pStyle w:val="Heading2"/>
      </w:pPr>
      <w:r>
        <w:t xml:space="preserve">2. Market Analysis: Qatar Doha Cultural Context</w:t>
      </w:r>
    </w:p>
    <w:p>
      <w:pPr>
        <w:pStyle w:val="FirstParagraph"/>
      </w:pPr>
      <w:r>
        <w:t xml:space="preserve">Qatar Doha's cultural landscape presents unique opportunities for Musician engagement, particularly through its strategic Vision 2030 initiatives promoting arts and tourism. The Sales Report identifies three critical market dynamics:</w:t>
      </w:r>
    </w:p>
    <w:p>
      <w:pPr>
        <w:numPr>
          <w:ilvl w:val="0"/>
          <w:numId w:val="1002"/>
        </w:numPr>
        <w:pStyle w:val="Compact"/>
      </w:pPr>
      <w:r>
        <w:rPr>
          <w:bCs/>
          <w:b/>
        </w:rPr>
        <w:t xml:space="preserve">Government Support:</w:t>
      </w:r>
      <w:r>
        <w:t xml:space="preserve"> </w:t>
      </w:r>
      <w:r>
        <w:t xml:space="preserve">Increased funding for live music events via Qatar Museums Authority (QMA) partnerships, resulting in 15% venue fee reductions for approved artists</w:t>
      </w:r>
    </w:p>
    <w:p>
      <w:pPr>
        <w:numPr>
          <w:ilvl w:val="0"/>
          <w:numId w:val="1002"/>
        </w:numPr>
        <w:pStyle w:val="Compact"/>
      </w:pPr>
      <w:r>
        <w:rPr>
          <w:bCs/>
          <w:b/>
        </w:rPr>
        <w:t xml:space="preserve">Cross-Generational Appeal:</w:t>
      </w:r>
      <w:r>
        <w:t xml:space="preserve"> </w:t>
      </w:r>
      <w:r>
        <w:t xml:space="preserve">The Musician's blend of Arabic fusion and global pop attracted 62% of attendees aged 25-44 (the primary spending demographic in Doha)</w:t>
      </w:r>
    </w:p>
    <w:p>
      <w:pPr>
        <w:numPr>
          <w:ilvl w:val="0"/>
          <w:numId w:val="1002"/>
        </w:numPr>
        <w:pStyle w:val="Compact"/>
      </w:pPr>
      <w:r>
        <w:rPr>
          <w:bCs/>
          <w:b/>
        </w:rPr>
        <w:t xml:space="preserve">Event Synergy:</w:t>
      </w:r>
      <w:r>
        <w:t xml:space="preserve"> </w:t>
      </w:r>
      <w:r>
        <w:t xml:space="preserve">Co-hosting with major Qatar events (e.g., FIFA World Cup 2022 legacy programs) boosted ticket sales by 31% during peak seasons</w:t>
      </w:r>
    </w:p>
    <w:p>
      <w:pPr>
        <w:pStyle w:val="FirstParagraph"/>
      </w:pPr>
      <w:r>
        <w:t xml:space="preserve">The Musician's adaptive approach—incorporating traditional Oud instruments into modern arrangements—resonated deeply with Qatari audiences, as reflected in the Sales Report's customer satisfaction metrics (94% positive feedback).</w:t>
      </w:r>
    </w:p>
    <w:bookmarkEnd w:id="22"/>
    <w:bookmarkStart w:id="23" w:name="customer-engagement-metrics"/>
    <w:p>
      <w:pPr>
        <w:pStyle w:val="Heading2"/>
      </w:pPr>
      <w:r>
        <w:t xml:space="preserve">3. Customer Engagement Metrics</w:t>
      </w:r>
    </w:p>
    <w:p>
      <w:pPr>
        <w:pStyle w:val="FirstParagraph"/>
      </w:pPr>
      <w:r>
        <w:t xml:space="preserve">Beyond raw sales figures, this Sales Report highlights qualitative engagement success: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Engagement Channel</w:t>
            </w:r>
          </w:p>
        </w:tc>
        <w:tc>
          <w:tcPr/>
          <w:p>
            <w:pPr>
              <w:pStyle w:val="Compact"/>
              <w:jc w:val="left"/>
            </w:pPr>
            <w:r>
              <w:t xml:space="preserve">Avg. Interaction Rate</w:t>
            </w:r>
          </w:p>
        </w:tc>
        <w:tc>
          <w:tcPr/>
          <w:p>
            <w:pPr>
              <w:pStyle w:val="Compact"/>
              <w:jc w:val="left"/>
            </w:pPr>
            <w:r>
              <w:t xml:space="preserve">Qatar Doha Impact</w:t>
            </w:r>
          </w:p>
        </w:tc>
      </w:tr>
      <w:tr>
        <w:tc>
          <w:tcPr/>
          <w:p>
            <w:pPr>
              <w:pStyle w:val="Compact"/>
              <w:jc w:val="left"/>
            </w:pPr>
            <w:r>
              <w:t xml:space="preserve">Social Media (Instagram/TikTok)</w:t>
            </w:r>
          </w:p>
        </w:tc>
        <w:tc>
          <w:tcPr/>
          <w:p>
            <w:pPr>
              <w:pStyle w:val="Compact"/>
              <w:jc w:val="left"/>
            </w:pPr>
            <w:r>
              <w:t xml:space="preserve">42%</w:t>
            </w:r>
          </w:p>
        </w:tc>
        <w:tc>
          <w:tcPr/>
          <w:p>
            <w:pPr>
              <w:pStyle w:val="Compact"/>
              <w:jc w:val="left"/>
            </w:pPr>
            <w:r>
              <w:t xml:space="preserve">Premium engagement from 85% of Qatari followers; #DohaMusician trend reached 1.2M views</w:t>
            </w:r>
          </w:p>
        </w:tc>
      </w:tr>
      <w:tr>
        <w:tc>
          <w:tcPr/>
          <w:p>
            <w:pPr>
              <w:pStyle w:val="Compact"/>
              <w:jc w:val="left"/>
            </w:pPr>
            <w:r>
              <w:t xml:space="preserve">Post-Show Meet-and-Greets</w:t>
            </w:r>
          </w:p>
        </w:tc>
        <w:tc>
          <w:tcPr/>
          <w:p>
            <w:pPr>
              <w:pStyle w:val="Compact"/>
              <w:jc w:val="left"/>
            </w:pPr>
            <w:r>
              <w:t xml:space="preserve">78% attendance</w:t>
            </w:r>
          </w:p>
        </w:tc>
        <w:tc>
          <w:tcPr/>
          <w:p>
            <w:pPr>
              <w:pStyle w:val="Compact"/>
              <w:jc w:val="left"/>
            </w:pPr>
            <w:r>
              <w:t xml:space="preserve">Direct sales of signed merchandise drove 23% of total retail revenue in Doha events</w:t>
            </w:r>
          </w:p>
        </w:tc>
      </w:tr>
      <w:tr>
        <w:tc>
          <w:tcPr/>
          <w:p>
            <w:pPr>
              <w:pStyle w:val="Compact"/>
              <w:jc w:val="left"/>
            </w:pPr>
            <w:r>
              <w:t xml:space="preserve">Loyalty Program (Qatar Doha Exclusive)</w:t>
            </w:r>
          </w:p>
        </w:tc>
        <w:tc>
          <w:tcPr/>
          <w:p>
            <w:pPr>
              <w:pStyle w:val="Compact"/>
              <w:jc w:val="left"/>
            </w:pPr>
            <w:r>
              <w:t xml:space="preserve">1,450 members</w:t>
            </w:r>
          </w:p>
        </w:tc>
        <w:tc>
          <w:tcPr/>
          <w:p>
            <w:pPr>
              <w:pStyle w:val="Compact"/>
              <w:jc w:val="left"/>
            </w:pPr>
            <w:r>
              <w:t xml:space="preserve">Members contributed 37% of repeat bookings; 92% renewed for Q4 events</w:t>
            </w:r>
          </w:p>
        </w:tc>
      </w:tr>
    </w:tbl>
    <w:p>
      <w:pPr>
        <w:pStyle w:val="BodyText"/>
      </w:pPr>
      <w:r>
        <w:t xml:space="preserve">This data proves the Musician's deep integration into Qatar Doha's social fabric, transforming casual attendees into brand advocates.</w:t>
      </w:r>
    </w:p>
    <w:bookmarkEnd w:id="23"/>
    <w:bookmarkStart w:id="24" w:name="challenges-and-strategic-adjustments"/>
    <w:p>
      <w:pPr>
        <w:pStyle w:val="Heading2"/>
      </w:pPr>
      <w:r>
        <w:t xml:space="preserve">4. Challenges and Strategic Adjustments</w:t>
      </w:r>
    </w:p>
    <w:p>
      <w:pPr>
        <w:pStyle w:val="FirstParagraph"/>
      </w:pPr>
      <w:r>
        <w:t xml:space="preserve">While results are exceptional, the Sales Report identifies two key challenges requiring ongoing attention:</w:t>
      </w:r>
    </w:p>
    <w:p>
      <w:pPr>
        <w:numPr>
          <w:ilvl w:val="0"/>
          <w:numId w:val="1003"/>
        </w:numPr>
        <w:pStyle w:val="Compact"/>
      </w:pPr>
      <w:r>
        <w:rPr>
          <w:bCs/>
          <w:b/>
        </w:rPr>
        <w:t xml:space="preserve">Cultural Sensitivity Requirements:</w:t>
      </w:r>
      <w:r>
        <w:t xml:space="preserve"> </w:t>
      </w:r>
      <w:r>
        <w:t xml:space="preserve">Initial event planning required adaptation of lyric content for local audiences. The Musician now collaborates with Qatari cultural advisors during production, reducing compliance issues by 90%.</w:t>
      </w:r>
    </w:p>
    <w:p>
      <w:pPr>
        <w:numPr>
          <w:ilvl w:val="0"/>
          <w:numId w:val="1003"/>
        </w:numPr>
        <w:pStyle w:val="Compact"/>
      </w:pPr>
      <w:r>
        <w:rPr>
          <w:bCs/>
          <w:b/>
        </w:rPr>
        <w:t xml:space="preserve">Seasonal Demand Fluctuations:</w:t>
      </w:r>
      <w:r>
        <w:t xml:space="preserve"> </w:t>
      </w:r>
      <w:r>
        <w:t xml:space="preserve">Traditional Ramadan and summer lull periods impacted bookings (Q2 2023). The solution: Developing Qatar Doha-exclusive "Summer Serenade" tours for cooler months, boosting Q3 sales by 18% over Q2.</w:t>
      </w:r>
    </w:p>
    <w:p>
      <w:pPr>
        <w:pStyle w:val="FirstParagraph"/>
      </w:pPr>
      <w:r>
        <w:t xml:space="preserve">These adjustments demonstrate the Musician's commitment to sustainable growth in the Qatar Doha market, turning potential obstacles into competitive advantages.</w:t>
      </w:r>
    </w:p>
    <w:bookmarkEnd w:id="24"/>
    <w:bookmarkStart w:id="25" w:name="Xe8ddf513e843b03afe51f592d23f49ee20e7ddd"/>
    <w:p>
      <w:pPr>
        <w:pStyle w:val="Heading2"/>
      </w:pPr>
      <w:r>
        <w:t xml:space="preserve">5. Future Outlook: Qatar Doha Expansion Strategy</w:t>
      </w:r>
    </w:p>
    <w:p>
      <w:pPr>
        <w:pStyle w:val="FirstParagraph"/>
      </w:pPr>
      <w:r>
        <w:t xml:space="preserve">This Sales Report projects 30% revenue growth for Q4 2023 through three initiatives:</w:t>
      </w:r>
    </w:p>
    <w:p>
      <w:pPr>
        <w:numPr>
          <w:ilvl w:val="0"/>
          <w:numId w:val="1004"/>
        </w:numPr>
        <w:pStyle w:val="Compact"/>
      </w:pPr>
      <w:r>
        <w:rPr>
          <w:bCs/>
          <w:b/>
        </w:rPr>
        <w:t xml:space="preserve">Qatar Doha Cultural Ambassador Program:</w:t>
      </w:r>
      <w:r>
        <w:t xml:space="preserve"> </w:t>
      </w:r>
      <w:r>
        <w:t xml:space="preserve">Official partnership with Ministry of Culture to develop youth music workshops (estimated ROI: QAR 185,000 in new revenue streams)</w:t>
      </w:r>
    </w:p>
    <w:p>
      <w:pPr>
        <w:numPr>
          <w:ilvl w:val="0"/>
          <w:numId w:val="1004"/>
        </w:numPr>
        <w:pStyle w:val="Compact"/>
      </w:pPr>
      <w:r>
        <w:rPr>
          <w:bCs/>
          <w:b/>
        </w:rPr>
        <w:t xml:space="preserve">Doha Music Festival Co-Headline:</w:t>
      </w:r>
      <w:r>
        <w:t xml:space="preserve"> </w:t>
      </w:r>
      <w:r>
        <w:t xml:space="preserve">Securing main stage position at the inaugural "Qatar Sound Festival" (October 2023) with guaranteed minimum sales of QAR 420,000</w:t>
      </w:r>
    </w:p>
    <w:p>
      <w:pPr>
        <w:numPr>
          <w:ilvl w:val="0"/>
          <w:numId w:val="1004"/>
        </w:numPr>
        <w:pStyle w:val="Compact"/>
      </w:pPr>
      <w:r>
        <w:rPr>
          <w:bCs/>
          <w:b/>
        </w:rPr>
        <w:t xml:space="preserve">Localized Digital Content:</w:t>
      </w:r>
      <w:r>
        <w:t xml:space="preserve"> </w:t>
      </w:r>
      <w:r>
        <w:t xml:space="preserve">Creating Arabic-language music videos for streaming platforms; targeting 5M+ views in Doha by year-end</w:t>
      </w:r>
    </w:p>
    <w:p>
      <w:pPr>
        <w:pStyle w:val="FirstParagraph"/>
      </w:pPr>
      <w:r>
        <w:t xml:space="preserve">The Sales Report emphasizes that Qatar Doha has evolved from a supplementary market to the Musician's strategic cornerstone. As of Q3, the artist now commands 40% market share among international musicians performing in Qatar—up from 18% in 2021.</w:t>
      </w:r>
    </w:p>
    <w:bookmarkEnd w:id="25"/>
    <w:bookmarkStart w:id="26" w:name="conclusion"/>
    <w:p>
      <w:pPr>
        <w:pStyle w:val="Heading2"/>
      </w:pPr>
      <w:r>
        <w:t xml:space="preserve">Conclusion</w:t>
      </w:r>
    </w:p>
    <w:p>
      <w:pPr>
        <w:pStyle w:val="FirstParagraph"/>
      </w:pPr>
      <w:r>
        <w:t xml:space="preserve">This comprehensive Sales Report affirms that the Musician has achieved unprecedented success in Qatar Doha through cultural intelligence and strategic market adaptation. The convergence of government support, audience engagement, and revenue diversification has positioned this artist as a benchmark for international performers seeking growth in Qatar's dynamic entertainment sector.</w:t>
      </w:r>
    </w:p>
    <w:p>
      <w:pPr>
        <w:pStyle w:val="BodyText"/>
      </w:pPr>
      <w:r>
        <w:t xml:space="preserve">Looking ahead, the Musician will leverage Qatar Doha's infrastructure to develop the first regional music production hub in the Gulf. This initiative promises to generate QAR 2.1M in annual revenue by 2025 while further strengthening the artist's legacy within Qatar's cultural narrative. For stakeholders, this Sales Report isn't merely a performance record—it's a blueprint for sustainable growth in one of the world's fastest-growing music markets.</w:t>
      </w:r>
    </w:p>
    <w:p>
      <w:pPr>
        <w:pStyle w:val="BodyText"/>
      </w:pPr>
      <w:r>
        <w:rPr>
          <w:bCs/>
          <w:b/>
        </w:rPr>
        <w:t xml:space="preserve">Prepared By:</w:t>
      </w:r>
      <w:r>
        <w:t xml:space="preserve"> </w:t>
      </w:r>
      <w:r>
        <w:t xml:space="preserve">International Music Ventures Analytics Team</w:t>
      </w:r>
      <w:r>
        <w:br/>
      </w:r>
      <w:r>
        <w:rPr>
          <w:bCs/>
          <w:b/>
        </w:rPr>
        <w:t xml:space="preserve">Confidentiality Notice:</w:t>
      </w:r>
      <w:r>
        <w:t xml:space="preserve"> </w:t>
      </w:r>
      <w:r>
        <w:t xml:space="preserve">This Sales Report is exclusively for authorized stakeholders of International Music Ventures. Unauthorized distribution prohibited under Qatar Doha commercial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in Qatar Doha</dc:title>
  <dc:creator/>
  <dc:language>en</dc:language>
  <cp:keywords/>
  <dcterms:created xsi:type="dcterms:W3CDTF">2026-07-21T02:27:39Z</dcterms:created>
  <dcterms:modified xsi:type="dcterms:W3CDTF">2026-07-21T02:27:39Z</dcterms:modified>
</cp:coreProperties>
</file>

<file path=docProps/custom.xml><?xml version="1.0" encoding="utf-8"?>
<Properties xmlns="http://schemas.openxmlformats.org/officeDocument/2006/custom-properties" xmlns:vt="http://schemas.openxmlformats.org/officeDocument/2006/docPropsVTypes"/>
</file>