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Russia</w:t>
      </w:r>
      <w:r>
        <w:t xml:space="preserve"> </w:t>
      </w:r>
      <w:r>
        <w:t xml:space="preserve">Moscow</w:t>
      </w:r>
      <w:r>
        <w:t xml:space="preserve"> </w:t>
      </w:r>
      <w:r>
        <w:t xml:space="preserve">Market</w:t>
      </w:r>
      <w:r>
        <w:t xml:space="preserve"> </w:t>
      </w:r>
      <w:r>
        <w:t xml:space="preserve">Analysis</w:t>
      </w:r>
    </w:p>
    <w:bookmarkStart w:id="30" w:name="X10d76d1002558d82598f32ec734670e90388067"/>
    <w:p>
      <w:pPr>
        <w:pStyle w:val="Heading1"/>
      </w:pPr>
      <w:r>
        <w:t xml:space="preserve">Comprehensive Sales Report: Musician Performance in Russia Moscow Market</w:t>
      </w:r>
    </w:p>
    <w:bookmarkStart w:id="20" w:name="executive-summary"/>
    <w:p>
      <w:pPr>
        <w:pStyle w:val="Heading2"/>
      </w:pPr>
      <w:r>
        <w:t xml:space="preserve">Executive Summary</w:t>
      </w:r>
    </w:p>
    <w:p>
      <w:pPr>
        <w:pStyle w:val="FirstParagraph"/>
      </w:pPr>
      <w:r>
        <w:t xml:space="preserve">This official Sales Report details the market performance of [Artist Name], a prominent international musician, across the dynamic Russia Moscow entertainment landscape. Covering Q1-Q3 2023, this document provides critical insights into revenue streams, audience engagement metrics, and strategic opportunities within one of Europe's most culturally vibrant music markets. As a leading Musician operating in Russia Moscow, [Artist Name] has achieved remarkable sales milestones while navigating unique regional challenges.</w:t>
      </w:r>
    </w:p>
    <w:bookmarkEnd w:id="20"/>
    <w:bookmarkStart w:id="21" w:name="X7c3647d7bef1a53c10c5731c2a42ad37d404ca7"/>
    <w:p>
      <w:pPr>
        <w:pStyle w:val="Heading2"/>
      </w:pPr>
      <w:r>
        <w:t xml:space="preserve">Market Context: Russia Moscow as Strategic Hub</w:t>
      </w:r>
    </w:p>
    <w:p>
      <w:pPr>
        <w:pStyle w:val="FirstParagraph"/>
      </w:pPr>
      <w:r>
        <w:t xml:space="preserve">Moscow represents the epicenter of Russia's music economy, contributing over 63% of national music revenue according to Rosstat data. This Sales Report confirms that [Artist Name] strategically focused on Moscow as the primary market due to its concentration of major labels, premium venues (Gorky Park, Crocus City Hall), and affluent urban demographic. The city's 12 million residents generate $1.2B annually in live music spending – a figure that has increased 27% YoY in Russia Moscow markets.</w:t>
      </w:r>
    </w:p>
    <w:bookmarkEnd w:id="21"/>
    <w:bookmarkStart w:id="22" w:name="X051f56ef5e743d979cad9d0c6ea8ab0af53a1ed"/>
    <w:p>
      <w:pPr>
        <w:pStyle w:val="Heading2"/>
      </w:pPr>
      <w:r>
        <w:t xml:space="preserve">Revenue Breakdown: Direct Sales Performance</w:t>
      </w:r>
    </w:p>
    <w:p>
      <w:pPr>
        <w:pStyle w:val="FirstParagraph"/>
      </w:pPr>
      <w:r>
        <w:t xml:space="preserve">Our Sales Report reveals exceptional performance across all channels:</w:t>
      </w:r>
    </w:p>
    <w:p>
      <w:pPr>
        <w:numPr>
          <w:ilvl w:val="0"/>
          <w:numId w:val="1001"/>
        </w:numPr>
        <w:pStyle w:val="Compact"/>
      </w:pPr>
      <w:r>
        <w:rPr>
          <w:bCs/>
          <w:b/>
        </w:rPr>
        <w:t xml:space="preserve">Digital Sales (Streaming &amp; Downloads):</w:t>
      </w:r>
      <w:r>
        <w:t xml:space="preserve"> </w:t>
      </w:r>
      <w:r>
        <w:t xml:space="preserve">48% growth in Russia Moscow, reaching 1.7M monthly listeners on Yandex Music and VKontakte. This represents 32% of total global digital sales.</w:t>
      </w:r>
    </w:p>
    <w:p>
      <w:pPr>
        <w:numPr>
          <w:ilvl w:val="0"/>
          <w:numId w:val="1001"/>
        </w:numPr>
        <w:pStyle w:val="Compact"/>
      </w:pPr>
      <w:r>
        <w:rPr>
          <w:bCs/>
          <w:b/>
        </w:rPr>
        <w:t xml:space="preserve">Merchandise Sales:</w:t>
      </w:r>
      <w:r>
        <w:t xml:space="preserve"> </w:t>
      </w:r>
      <w:r>
        <w:t xml:space="preserve">$245,000 revenue from Moscow-based pop-up shops during the "Symphony of Light" tour, exceeding targets by 18%. Key items: limited-edition vinyl pressings (sold out in 72 hours) and designer apparel.</w:t>
      </w:r>
    </w:p>
    <w:p>
      <w:pPr>
        <w:numPr>
          <w:ilvl w:val="0"/>
          <w:numId w:val="1001"/>
        </w:numPr>
        <w:pStyle w:val="Compact"/>
      </w:pPr>
      <w:r>
        <w:rPr>
          <w:bCs/>
          <w:b/>
        </w:rPr>
        <w:t xml:space="preserve">Livestock Events:</w:t>
      </w:r>
      <w:r>
        <w:t xml:space="preserve"> </w:t>
      </w:r>
      <w:r>
        <w:t xml:space="preserve">Record-breaking ticket sales for the Moscow Arena concert ($350k revenue), achieving 98% capacity. This was the highest-grossing Musician performance at the venue since 2019.</w:t>
      </w:r>
    </w:p>
    <w:bookmarkEnd w:id="22"/>
    <w:bookmarkStart w:id="23" w:name="consumer-behavior-analysis"/>
    <w:p>
      <w:pPr>
        <w:pStyle w:val="Heading2"/>
      </w:pPr>
      <w:r>
        <w:t xml:space="preserve">Consumer Behavior Analysis</w:t>
      </w:r>
    </w:p>
    <w:p>
      <w:pPr>
        <w:pStyle w:val="FirstParagraph"/>
      </w:pPr>
      <w:r>
        <w:t xml:space="preserve">The data confirms Moscow's unique musical appetite: 74% of sales came from customers aged 18-34, with peak engagement occurring during evening commute hours (6-9 PM). The Sales Report notes a significant shift toward hybrid experiences – 68% of buyers purchased both physical merchandise and digital content. This trend validates [Artist Name]'s strategy to integrate physical products with exclusive streaming access.</w:t>
      </w:r>
    </w:p>
    <w:p>
      <w:pPr>
        <w:pStyle w:val="BodyText"/>
      </w:pPr>
      <w:r>
        <w:t xml:space="preserve">Notably, Russia Moscow consumers show strong preference for localized content. Our Musician developed a special Russian-language track ("Vstrecha v Moskve"), which drove 22% of all new listener sign-ups in the market. This demonstrates how cultural adaptation directly impacts sales performance.</w:t>
      </w:r>
    </w:p>
    <w:bookmarkEnd w:id="23"/>
    <w:bookmarkStart w:id="24" w:name="competitive-landscape-assessment"/>
    <w:p>
      <w:pPr>
        <w:pStyle w:val="Heading2"/>
      </w:pPr>
      <w:r>
        <w:t xml:space="preserve">Competitive Landscape Assessment</w:t>
      </w:r>
    </w:p>
    <w:p>
      <w:pPr>
        <w:pStyle w:val="FirstParagraph"/>
      </w:pPr>
      <w:r>
        <w:t xml:space="preserve">While international artists dominate Moscow's top-tier venues, local Russian acts captured only 19% of premium ticket sales this quarter according to our Sales Report. [Artist Name]'s strategic differentiation – combining global production value with Moscow-specific storytelling (e.g., referencing Red Square in album visuals) – created a 34% higher customer retention rate than competitors.</w:t>
      </w:r>
    </w:p>
    <w:p>
      <w:pPr>
        <w:pStyle w:val="BodyText"/>
      </w:pPr>
      <w:r>
        <w:t xml:space="preserve">Key challenge: Russian tax regulations on foreign artists. The 12% withholding tax on international revenue required our Musician to restructure tour contracts, temporarily reducing gross margins by 8%. However, the Sales Report confirms this was offset by increased local partnerships with Moscow-based brands (Vespa Russia, Kaspersky Lab) generating $180k in co-branded marketing revenue.</w:t>
      </w:r>
    </w:p>
    <w:bookmarkEnd w:id="24"/>
    <w:bookmarkStart w:id="25" w:name="regional-expansion-strategy"/>
    <w:p>
      <w:pPr>
        <w:pStyle w:val="Heading2"/>
      </w:pPr>
      <w:r>
        <w:t xml:space="preserve">Regional Expansion Strategy</w:t>
      </w:r>
    </w:p>
    <w:p>
      <w:pPr>
        <w:pStyle w:val="FirstParagraph"/>
      </w:pPr>
      <w:r>
        <w:t xml:space="preserve">This Sales Report identifies Moscow as the launchpad for broader Russia expansion. Our Musician has initiated partnerships with 7 regional distributors to replicate success beyond the capital, including St. Petersburg and Kazan. Preliminary data shows 31% higher average transaction value in these secondary markets compared to international benchmarks – proving Moscow's market leadership influences national trends.</w:t>
      </w:r>
    </w:p>
    <w:p>
      <w:pPr>
        <w:pStyle w:val="BodyText"/>
      </w:pPr>
      <w:r>
        <w:t xml:space="preserve">Crucially, the Russia Moscow sales team implemented a "Moscow Culture Ambassador" program training local staff on regional preferences. This initiative reduced customer acquisition costs by 23% and improved social media engagement rates by 41%, directly boosting Sales Report metrics.</w:t>
      </w:r>
    </w:p>
    <w:bookmarkEnd w:id="25"/>
    <w:bookmarkStart w:id="26" w:name="challenges-mitigation-measures"/>
    <w:p>
      <w:pPr>
        <w:pStyle w:val="Heading2"/>
      </w:pPr>
      <w:r>
        <w:t xml:space="preserve">Challenges &amp; Mitigation Measures</w:t>
      </w:r>
    </w:p>
    <w:p>
      <w:pPr>
        <w:pStyle w:val="FirstParagraph"/>
      </w:pPr>
      <w:r>
        <w:t xml:space="preserve">Despite strong performance, the Sales Report highlights two critical challenges in Russia Moscow:</w:t>
      </w:r>
    </w:p>
    <w:p>
      <w:pPr>
        <w:numPr>
          <w:ilvl w:val="0"/>
          <w:numId w:val="1002"/>
        </w:numPr>
        <w:pStyle w:val="Compact"/>
      </w:pPr>
      <w:r>
        <w:rPr>
          <w:bCs/>
          <w:b/>
        </w:rPr>
        <w:t xml:space="preserve">Platform Restrictions:</w:t>
      </w:r>
      <w:r>
        <w:t xml:space="preserve"> </w:t>
      </w:r>
      <w:r>
        <w:t xml:space="preserve">Limited access to Spotify (blocked since 2019) forced complete reliance on Yandex Music. Our Musician accelerated development of exclusive content for local platforms, resulting in a 38% increase in platform-specific sales.</w:t>
      </w:r>
    </w:p>
    <w:p>
      <w:pPr>
        <w:numPr>
          <w:ilvl w:val="0"/>
          <w:numId w:val="1002"/>
        </w:numPr>
        <w:pStyle w:val="Compact"/>
      </w:pPr>
      <w:r>
        <w:rPr>
          <w:bCs/>
          <w:b/>
        </w:rPr>
        <w:t xml:space="preserve">Currency Volatility:</w:t>
      </w:r>
      <w:r>
        <w:t xml:space="preserve"> </w:t>
      </w:r>
      <w:r>
        <w:t xml:space="preserve">Ruble fluctuations impacted pricing strategy. We implemented dynamic pricing adjustments every 45 days, preserving margin while maintaining competitiveness.</w:t>
      </w:r>
    </w:p>
    <w:bookmarkEnd w:id="26"/>
    <w:bookmarkStart w:id="27" w:name="future-sales-projections"/>
    <w:p>
      <w:pPr>
        <w:pStyle w:val="Heading2"/>
      </w:pPr>
      <w:r>
        <w:t xml:space="preserve">Future Sales Projections</w:t>
      </w:r>
    </w:p>
    <w:p>
      <w:pPr>
        <w:pStyle w:val="FirstParagraph"/>
      </w:pPr>
      <w:r>
        <w:t xml:space="preserve">Based on current momentum, the Sales Report forecasts a 40% revenue increase for Q4 2023. The upcoming Moscow-based release "Eternal City" (featuring Russian orchestra) is projected to drive $850k in pre-sales alone. This Musician's commitment to Russia Moscow market expansion includes:</w:t>
      </w:r>
    </w:p>
    <w:p>
      <w:pPr>
        <w:numPr>
          <w:ilvl w:val="0"/>
          <w:numId w:val="1003"/>
        </w:numPr>
        <w:pStyle w:val="Compact"/>
      </w:pPr>
      <w:r>
        <w:t xml:space="preserve">Opening permanent merchandise kiosks at 4 major Moscow metro stations</w:t>
      </w:r>
    </w:p>
    <w:p>
      <w:pPr>
        <w:numPr>
          <w:ilvl w:val="0"/>
          <w:numId w:val="1003"/>
        </w:numPr>
        <w:pStyle w:val="Compact"/>
      </w:pPr>
      <w:r>
        <w:t xml:space="preserve">Launching a Russian-language podcast series ("Moscow Sessions") with 150k expected subscribers</w:t>
      </w:r>
    </w:p>
    <w:p>
      <w:pPr>
        <w:numPr>
          <w:ilvl w:val="0"/>
          <w:numId w:val="1003"/>
        </w:numPr>
        <w:pStyle w:val="Compact"/>
      </w:pPr>
      <w:r>
        <w:t xml:space="preserve">Partnering with Moscow City government for the "Cultural Bridge" initiative (funding upcoming tour)</w:t>
      </w:r>
    </w:p>
    <w:bookmarkEnd w:id="27"/>
    <w:bookmarkStart w:id="29" w:name="X916d10a0628b79a9a06d6b63d3f84104b3a8566"/>
    <w:p>
      <w:pPr>
        <w:pStyle w:val="Heading2"/>
      </w:pPr>
      <w:r>
        <w:t xml:space="preserve">Conclusion: Russia Moscow as Market Catalyst</w:t>
      </w:r>
    </w:p>
    <w:p>
      <w:pPr>
        <w:pStyle w:val="FirstParagraph"/>
      </w:pPr>
      <w:r>
        <w:t xml:space="preserve">This Sales Report unequivocally demonstrates that [Artist Name] has not merely entered but transformed the Russia Moscow music economy. The Musician's strategic focus on local cultural resonance – rather than generic international marketing – delivered 58% higher engagement rates than previous markets. As confirmed by our Q3 data, Moscow remains the single most profitable market for this Musician globally.</w:t>
      </w:r>
    </w:p>
    <w:p>
      <w:pPr>
        <w:pStyle w:val="BodyText"/>
      </w:pPr>
      <w:r>
        <w:t xml:space="preserve">Looking ahead, we recommend doubling down on Moscow's ecosystem: developing a permanent creative studio in the city and establishing an annual "Moscow Sound" festival. These initiatives will leverage our Sales Report insights to create sustainable growth. In Russia Moscow, where music is not just entertainment but cultural identity, this Musician has proven that authentic market integration drives exceptional commercial results – setting new benchmarks for international artists entering this pivotal territory.</w:t>
      </w:r>
    </w:p>
    <w:bookmarkStart w:id="28" w:name="X41a06e6d543122a27d42193f59f912a29188b78"/>
    <w:p>
      <w:pPr>
        <w:pStyle w:val="Heading3"/>
      </w:pPr>
      <w:r>
        <w:t xml:space="preserve">Appendix: Key Performance Indicators (Q1-Q3 2023)</w:t>
      </w:r>
    </w:p>
    <w:p>
      <w:pPr>
        <w:pStyle w:val="FirstParagraph"/>
      </w:pPr>
      <w:r>
        <w:t xml:space="preserve">KPI</w:t>
      </w:r>
    </w:p>
    <w:p>
      <w:pPr>
        <w:pStyle w:val="BodyText"/>
      </w:pPr>
      <w:r>
        <w:t xml:space="preserve">Actual</w:t>
      </w:r>
    </w:p>
    <w:p>
      <w:pPr>
        <w:pStyle w:val="BodyText"/>
      </w:pPr>
      <w:r>
        <w:t xml:space="preserve">Target</w:t>
      </w:r>
    </w:p>
    <w:p>
      <w:pPr>
        <w:pStyle w:val="BodyText"/>
      </w:pPr>
      <w:r>
        <w:t xml:space="preserve">Variance</w:t>
      </w:r>
    </w:p>
    <w:p>
      <w:pPr>
        <w:pStyle w:val="BodyText"/>
      </w:pPr>
      <w:r>
        <w:t xml:space="preserve">Total Revenue (Moscow)</w:t>
      </w:r>
    </w:p>
    <w:p>
      <w:pPr>
        <w:pStyle w:val="BodyText"/>
      </w:pPr>
      <w:r>
        <w:t xml:space="preserve">$1.87M</w:t>
      </w:r>
    </w:p>
    <w:p>
      <w:pPr>
        <w:pStyle w:val="BodyText"/>
      </w:pPr>
      <w:r>
        <w:t xml:space="preserve">$1.42M</w:t>
      </w:r>
    </w:p>
    <w:p>
      <w:pPr>
        <w:pStyle w:val="BodyText"/>
      </w:pPr>
      <w:r>
        <w:t xml:space="preserve">+31.7%</w:t>
      </w:r>
    </w:p>
    <w:p>
      <w:pPr>
        <w:pStyle w:val="BodyText"/>
      </w:pPr>
      <w:r>
        <w:t xml:space="preserve">Merchandise Margin</w:t>
      </w:r>
    </w:p>
    <w:p>
      <w:pPr>
        <w:pStyle w:val="BodyText"/>
      </w:pPr>
      <w:r>
        <w:t xml:space="preserve">&lt;</w:t>
      </w:r>
    </w:p>
    <w:p>
      <w:pPr>
        <w:pStyle w:val="BodyText"/>
      </w:pPr>
      <w:r>
        <w:t xml:space="preserve">62%</w:t>
      </w:r>
    </w:p>
    <w:p>
      <w:pPr>
        <w:pStyle w:val="BodyText"/>
      </w:pPr>
      <w:r>
        <w:t xml:space="preserve">58%</w:t>
      </w:r>
    </w:p>
    <w:p>
      <w:pPr>
        <w:pStyle w:val="BodyText"/>
      </w:pPr>
      <w:r>
        <w:t xml:space="preserve">Total Revenue (Moscow)</w:t>
      </w:r>
    </w:p>
    <w:p>
      <w:pPr>
        <w:pStyle w:val="BodyText"/>
      </w:pPr>
      <w:r>
        <w:t xml:space="preserve">$1.87M</w:t>
      </w:r>
    </w:p>
    <w:p>
      <w:pPr>
        <w:pStyle w:val="BodyText"/>
      </w:pPr>
      <w:r>
        <w:t xml:space="preserve">$1.42M</w:t>
      </w:r>
    </w:p>
    <w:p>
      <w:pPr>
        <w:pStyle w:val="BodyText"/>
      </w:pPr>
      <w:r>
        <w:t xml:space="preserve">+31.7%</w:t>
      </w:r>
    </w:p>
    <w:p>
      <w:pPr>
        <w:pStyle w:val="BodyText"/>
      </w:pPr>
      <w:r>
        <w:t xml:space="preserve">Merchandise Margin</w:t>
      </w:r>
    </w:p>
    <w:p>
      <w:pPr>
        <w:pStyle w:val="BodyText"/>
      </w:pPr>
      <w:r>
        <w:t xml:space="preserve">62%</w:t>
      </w:r>
    </w:p>
    <w:p>
      <w:pPr>
        <w:pStyle w:val="BodyText"/>
      </w:pPr>
      <w:r>
        <w:t xml:space="preserve">58%</w:t>
      </w:r>
    </w:p>
    <w:p>
      <w:pPr>
        <w:pStyle w:val="BodyText"/>
      </w:pPr>
      <w:r>
        <w:t xml:space="preserve">+4.0pts</w:t>
      </w:r>
    </w:p>
    <w:p>
      <w:pPr>
        <w:pStyle w:val="BodyText"/>
      </w:pPr>
      <w:r>
        <w:t xml:space="preserve">Average Ticket Price</w:t>
      </w:r>
    </w:p>
    <w:p>
      <w:pPr>
        <w:pStyle w:val="BodyText"/>
      </w:pPr>
      <w:r>
        <w:t xml:space="preserve">&lt;</w:t>
      </w:r>
    </w:p>
    <w:p>
      <w:pPr>
        <w:pStyle w:val="BodyText"/>
      </w:pPr>
      <w:r>
        <w:t xml:space="preserve">$132</w:t>
      </w:r>
    </w:p>
    <w:p>
      <w:pPr>
        <w:pStyle w:val="BodyText"/>
      </w:pPr>
      <w:r>
        <w:t xml:space="preserve">Average Ticket Price</w:t>
      </w:r>
    </w:p>
    <w:p>
      <w:pPr>
        <w:pStyle w:val="BodyText"/>
      </w:pPr>
      <w:r>
        <w:t xml:space="preserve">$132</w:t>
      </w:r>
    </w:p>
    <w:p>
      <w:pPr>
        <w:pStyle w:val="BodyText"/>
      </w:pPr>
      <w:r>
        <w:t xml:space="preserve">$120</w:t>
      </w:r>
    </w:p>
    <w:p>
      <w:pPr>
        <w:pStyle w:val="BodyText"/>
      </w:pPr>
      <w:r>
        <w:t xml:space="preserve">+10.0%</w:t>
      </w:r>
    </w:p>
    <w:p>
      <w:pPr>
        <w:pStyle w:val="BodyText"/>
      </w:pPr>
      <w:r>
        <w:t xml:space="preserve">Local Social Engagement Rate</w:t>
      </w:r>
    </w:p>
    <w:p>
      <w:pPr>
        <w:pStyle w:val="BodyText"/>
      </w:pPr>
      <w:r>
        <w:t xml:space="preserve">8.7%</w:t>
      </w:r>
    </w:p>
    <w:p>
      <w:pPr>
        <w:pStyle w:val="BodyText"/>
      </w:pPr>
      <w:r>
        <w:t xml:space="preserve">5.4%</w:t>
      </w:r>
    </w:p>
    <w:p>
      <w:pPr>
        <w:pStyle w:val="BodyText"/>
      </w:pPr>
      <w:r>
        <w:t xml:space="preserve">+3.3pts</w:t>
      </w:r>
    </w:p>
    <w:p>
      <w:pPr>
        <w:pStyle w:val="BodyText"/>
      </w:pPr>
      <w:r>
        <w:rPr>
          <w:bCs/>
          <w:b/>
        </w:rPr>
        <w:t xml:space="preserve">Certified by:</w:t>
      </w:r>
      <w:r>
        <w:t xml:space="preserve"> </w:t>
      </w:r>
      <w:r>
        <w:t xml:space="preserve">Global Music Analytics Division</w:t>
      </w:r>
      <w:r>
        <w:br/>
      </w:r>
      <w:r>
        <w:rPr>
          <w:bCs/>
          <w:b/>
        </w:rPr>
        <w:t xml:space="preserve">Date:</w:t>
      </w:r>
      <w:r>
        <w:t xml:space="preserve"> </w:t>
      </w:r>
      <w:r>
        <w:t xml:space="preserve">October 26, 2023</w:t>
      </w:r>
      <w:r>
        <w:br/>
      </w:r>
      <w:r>
        <w:rPr>
          <w:iCs/>
          <w:i/>
        </w:rPr>
        <w:t xml:space="preserve">This Sales Report represents verified data from Russia Moscow market operations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Russia Moscow Market Analysis</dc:title>
  <dc:creator/>
  <dc:language>en</dc:language>
  <cp:keywords/>
  <dcterms:created xsi:type="dcterms:W3CDTF">2026-07-21T09:12:28Z</dcterms:created>
  <dcterms:modified xsi:type="dcterms:W3CDTF">2026-07-21T09:12:28Z</dcterms:modified>
</cp:coreProperties>
</file>

<file path=docProps/custom.xml><?xml version="1.0" encoding="utf-8"?>
<Properties xmlns="http://schemas.openxmlformats.org/officeDocument/2006/custom-properties" xmlns:vt="http://schemas.openxmlformats.org/officeDocument/2006/docPropsVTypes"/>
</file>